
<file path=[Content_Types].xml><?xml version="1.0" encoding="utf-8"?>
<Types xmlns="http://schemas.openxmlformats.org/package/2006/content-types">
  <Default Extension="png" ContentType="image/png"/>
  <Default Extension="rels" ContentType="application/vnd.openxmlformats-package.relationships+xml"/>
  <Default Extension="emf" ContentType="image/x-emf"/>
  <Default Extension="jpeg" ContentType="image/jpeg"/>
  <Default Extension="xml" ContentType="application/vnd.openxmlformats-officedocument.wordprocessingml.footer+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webSettings.xml" ContentType="application/vnd.openxmlformats-officedocument.wordprocessingml.webSettings+xml"/>
  <Override PartName="/word/document.xml" ContentType="application/vnd.openxmlformats-officedocument.wordprocessingml.document.main+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customXml/itemProps1.xml" ContentType="application/vnd.openxmlformats-officedocument.customXmlProperties+xml"/>
  <Override PartName="/word/stylesWithEffects.xml" ContentType="application/vnd.ms-word.stylesWithEffect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3.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8F" w:rsidRPr="00667A1C" w:rsidRDefault="00ED4F8F" w:rsidP="00ED4F8F">
      <w:pPr>
        <w:jc w:val="center"/>
        <w:rPr>
          <w:b/>
          <w:color w:val="0000CC"/>
          <w:sz w:val="40"/>
          <w:szCs w:val="40"/>
        </w:rPr>
      </w:pPr>
    </w:p>
    <w:p w:rsidR="000959E0" w:rsidRPr="00667A1C" w:rsidRDefault="000959E0" w:rsidP="00ED4F8F">
      <w:pPr>
        <w:jc w:val="center"/>
        <w:rPr>
          <w:b/>
          <w:color w:val="0000CC"/>
          <w:sz w:val="40"/>
          <w:szCs w:val="40"/>
        </w:rPr>
      </w:pPr>
    </w:p>
    <w:p w:rsidR="00ED4F8F" w:rsidRPr="0051026D" w:rsidRDefault="000E77BE" w:rsidP="000C11CB">
      <w:pPr>
        <w:jc w:val="center"/>
        <w:rPr>
          <w:b/>
          <w:color w:val="984806"/>
          <w:sz w:val="40"/>
          <w:szCs w:val="40"/>
        </w:rPr>
      </w:pPr>
      <w:r w:rsidRPr="0051026D">
        <w:rPr>
          <w:b/>
          <w:color w:val="984806"/>
          <w:sz w:val="40"/>
          <w:szCs w:val="40"/>
        </w:rPr>
        <w:t>JOE GQABI DISTRICT</w:t>
      </w:r>
      <w:r w:rsidR="00ED4F8F" w:rsidRPr="0051026D">
        <w:rPr>
          <w:b/>
          <w:color w:val="984806"/>
          <w:sz w:val="40"/>
          <w:szCs w:val="40"/>
        </w:rPr>
        <w:t xml:space="preserve"> MUN</w:t>
      </w:r>
      <w:r w:rsidR="008B5023" w:rsidRPr="0051026D">
        <w:rPr>
          <w:b/>
          <w:color w:val="984806"/>
          <w:sz w:val="40"/>
          <w:szCs w:val="40"/>
        </w:rPr>
        <w:t>I</w:t>
      </w:r>
      <w:r w:rsidR="00ED4F8F" w:rsidRPr="0051026D">
        <w:rPr>
          <w:b/>
          <w:color w:val="984806"/>
          <w:sz w:val="40"/>
          <w:szCs w:val="40"/>
        </w:rPr>
        <w:t>CIPALITY</w:t>
      </w:r>
    </w:p>
    <w:p w:rsidR="00ED4F8F" w:rsidRPr="00A56480" w:rsidRDefault="00ED4F8F" w:rsidP="00ED4F8F">
      <w:pPr>
        <w:jc w:val="center"/>
        <w:rPr>
          <w:b/>
          <w:color w:val="0070C0"/>
          <w:sz w:val="40"/>
          <w:szCs w:val="40"/>
        </w:rPr>
      </w:pPr>
    </w:p>
    <w:p w:rsidR="00ED4F8F" w:rsidRPr="00667A1C" w:rsidRDefault="00ED4F8F" w:rsidP="00ED4F8F">
      <w:pPr>
        <w:jc w:val="center"/>
        <w:rPr>
          <w:b/>
          <w:color w:val="0000CC"/>
          <w:sz w:val="40"/>
          <w:szCs w:val="40"/>
        </w:rPr>
      </w:pPr>
    </w:p>
    <w:p w:rsidR="00ED4F8F" w:rsidRPr="00667A1C" w:rsidRDefault="00ED4F8F" w:rsidP="00ED4F8F">
      <w:pPr>
        <w:jc w:val="center"/>
        <w:rPr>
          <w:b/>
          <w:color w:val="0000CC"/>
          <w:sz w:val="40"/>
          <w:szCs w:val="40"/>
        </w:rPr>
      </w:pPr>
    </w:p>
    <w:p w:rsidR="00ED4F8F" w:rsidRPr="00667A1C" w:rsidRDefault="00CE33F7" w:rsidP="00ED4F8F">
      <w:pPr>
        <w:jc w:val="center"/>
        <w:rPr>
          <w:b/>
          <w:color w:val="0000CC"/>
          <w:sz w:val="40"/>
          <w:szCs w:val="40"/>
        </w:rPr>
      </w:pPr>
      <w:r>
        <w:rPr>
          <w:b/>
          <w:noProof/>
          <w:color w:val="0000CC"/>
          <w:sz w:val="40"/>
          <w:szCs w:val="40"/>
        </w:rPr>
        <w:drawing>
          <wp:inline distT="0" distB="0" distL="0" distR="0">
            <wp:extent cx="1962150" cy="2847975"/>
            <wp:effectExtent l="19050" t="0" r="0" b="0"/>
            <wp:docPr id="4" name="Picture 1" descr="Joe Gqabi D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Gqabi DM logo.jpg"/>
                    <pic:cNvPicPr>
                      <a:picLocks noChangeAspect="1" noChangeArrowheads="1"/>
                    </pic:cNvPicPr>
                  </pic:nvPicPr>
                  <pic:blipFill>
                    <a:blip r:embed="rId8" cstate="print"/>
                    <a:srcRect/>
                    <a:stretch>
                      <a:fillRect/>
                    </a:stretch>
                  </pic:blipFill>
                  <pic:spPr bwMode="auto">
                    <a:xfrm>
                      <a:off x="0" y="0"/>
                      <a:ext cx="1962150" cy="2847975"/>
                    </a:xfrm>
                    <a:prstGeom prst="rect">
                      <a:avLst/>
                    </a:prstGeom>
                    <a:noFill/>
                    <a:ln w="9525">
                      <a:noFill/>
                      <a:miter lim="800000"/>
                      <a:headEnd/>
                      <a:tailEnd/>
                    </a:ln>
                  </pic:spPr>
                </pic:pic>
              </a:graphicData>
            </a:graphic>
          </wp:inline>
        </w:drawing>
      </w:r>
    </w:p>
    <w:p w:rsidR="00ED4F8F" w:rsidRDefault="00ED4F8F" w:rsidP="000C11CB">
      <w:pPr>
        <w:tabs>
          <w:tab w:val="center" w:pos="284"/>
        </w:tabs>
        <w:jc w:val="center"/>
        <w:rPr>
          <w:b/>
          <w:sz w:val="28"/>
          <w:szCs w:val="28"/>
        </w:rPr>
      </w:pPr>
    </w:p>
    <w:p w:rsidR="00ED4F8F" w:rsidRPr="00667A1C" w:rsidRDefault="00ED4F8F" w:rsidP="00ED4F8F">
      <w:pPr>
        <w:jc w:val="center"/>
        <w:rPr>
          <w:b/>
          <w:color w:val="0000CC"/>
          <w:sz w:val="40"/>
          <w:szCs w:val="40"/>
        </w:rPr>
      </w:pPr>
    </w:p>
    <w:p w:rsidR="00ED4F8F" w:rsidRPr="00667A1C" w:rsidRDefault="00ED4F8F" w:rsidP="000C11CB">
      <w:pPr>
        <w:jc w:val="center"/>
        <w:rPr>
          <w:b/>
          <w:color w:val="0000CC"/>
          <w:sz w:val="40"/>
          <w:szCs w:val="40"/>
        </w:rPr>
      </w:pPr>
    </w:p>
    <w:p w:rsidR="00ED4F8F" w:rsidRPr="0051026D" w:rsidRDefault="00224F59" w:rsidP="000959E0">
      <w:pPr>
        <w:jc w:val="center"/>
        <w:rPr>
          <w:b/>
          <w:color w:val="984806"/>
          <w:sz w:val="40"/>
          <w:szCs w:val="40"/>
        </w:rPr>
      </w:pPr>
      <w:r>
        <w:rPr>
          <w:b/>
          <w:color w:val="984806"/>
          <w:sz w:val="40"/>
          <w:szCs w:val="40"/>
        </w:rPr>
        <w:t>2020/21</w:t>
      </w:r>
      <w:r w:rsidR="000C11CB" w:rsidRPr="0051026D">
        <w:rPr>
          <w:b/>
          <w:color w:val="984806"/>
          <w:sz w:val="40"/>
          <w:szCs w:val="40"/>
        </w:rPr>
        <w:t>TO</w:t>
      </w:r>
      <w:r>
        <w:rPr>
          <w:b/>
          <w:color w:val="984806"/>
          <w:sz w:val="40"/>
          <w:szCs w:val="40"/>
        </w:rPr>
        <w:t xml:space="preserve"> 2022/23</w:t>
      </w:r>
    </w:p>
    <w:p w:rsidR="000C11CB" w:rsidRPr="0051026D" w:rsidRDefault="000C11CB" w:rsidP="000959E0">
      <w:pPr>
        <w:jc w:val="center"/>
        <w:rPr>
          <w:b/>
          <w:color w:val="984806"/>
          <w:sz w:val="40"/>
          <w:szCs w:val="40"/>
        </w:rPr>
      </w:pPr>
      <w:r w:rsidRPr="0051026D">
        <w:rPr>
          <w:b/>
          <w:color w:val="984806"/>
          <w:sz w:val="40"/>
          <w:szCs w:val="40"/>
        </w:rPr>
        <w:t>MEDIUM TERM REVENUE AND</w:t>
      </w:r>
    </w:p>
    <w:p w:rsidR="000C11CB" w:rsidRPr="0051026D" w:rsidRDefault="000C11CB" w:rsidP="000959E0">
      <w:pPr>
        <w:jc w:val="center"/>
        <w:rPr>
          <w:b/>
          <w:color w:val="984806"/>
          <w:sz w:val="40"/>
          <w:szCs w:val="40"/>
        </w:rPr>
      </w:pPr>
      <w:r w:rsidRPr="0051026D">
        <w:rPr>
          <w:b/>
          <w:color w:val="984806"/>
          <w:sz w:val="40"/>
          <w:szCs w:val="40"/>
        </w:rPr>
        <w:t>EXPENDITURE FORECASTS</w:t>
      </w:r>
    </w:p>
    <w:p w:rsidR="00ED4F8F" w:rsidRPr="0051026D" w:rsidRDefault="00ED4F8F" w:rsidP="000C11CB">
      <w:pPr>
        <w:jc w:val="center"/>
        <w:rPr>
          <w:b/>
          <w:color w:val="984806"/>
          <w:sz w:val="40"/>
          <w:szCs w:val="40"/>
        </w:rPr>
      </w:pPr>
    </w:p>
    <w:p w:rsidR="00667A1C" w:rsidRPr="0051026D" w:rsidRDefault="000E77BE" w:rsidP="000C11CB">
      <w:pPr>
        <w:jc w:val="center"/>
        <w:rPr>
          <w:b/>
          <w:color w:val="984806"/>
          <w:sz w:val="40"/>
          <w:szCs w:val="40"/>
        </w:rPr>
      </w:pPr>
      <w:r w:rsidRPr="0051026D">
        <w:rPr>
          <w:b/>
          <w:color w:val="984806"/>
          <w:sz w:val="40"/>
          <w:szCs w:val="40"/>
        </w:rPr>
        <w:t>(</w:t>
      </w:r>
      <w:r w:rsidR="008F6D94">
        <w:rPr>
          <w:b/>
          <w:color w:val="984806"/>
          <w:sz w:val="40"/>
          <w:szCs w:val="40"/>
        </w:rPr>
        <w:t>Final</w:t>
      </w:r>
      <w:r w:rsidR="00E95F29">
        <w:rPr>
          <w:b/>
          <w:color w:val="984806"/>
          <w:sz w:val="40"/>
          <w:szCs w:val="40"/>
        </w:rPr>
        <w:t xml:space="preserve"> </w:t>
      </w:r>
      <w:r w:rsidR="00CE33F7">
        <w:rPr>
          <w:b/>
          <w:color w:val="984806"/>
          <w:sz w:val="40"/>
          <w:szCs w:val="40"/>
        </w:rPr>
        <w:t xml:space="preserve">Budget for </w:t>
      </w:r>
      <w:r w:rsidR="0075118A">
        <w:rPr>
          <w:b/>
          <w:color w:val="984806"/>
          <w:sz w:val="40"/>
          <w:szCs w:val="40"/>
        </w:rPr>
        <w:t>Approval</w:t>
      </w:r>
      <w:r w:rsidR="00667A1C" w:rsidRPr="0051026D">
        <w:rPr>
          <w:b/>
          <w:color w:val="984806"/>
          <w:sz w:val="40"/>
          <w:szCs w:val="40"/>
        </w:rPr>
        <w:t xml:space="preserve"> by Council)</w:t>
      </w:r>
    </w:p>
    <w:p w:rsidR="00667A1C" w:rsidRPr="0051026D" w:rsidRDefault="00667A1C" w:rsidP="000C11CB">
      <w:pPr>
        <w:jc w:val="center"/>
        <w:rPr>
          <w:b/>
          <w:color w:val="984806"/>
          <w:sz w:val="40"/>
          <w:szCs w:val="40"/>
        </w:rPr>
      </w:pPr>
    </w:p>
    <w:p w:rsidR="00ED4F8F" w:rsidRPr="0051026D" w:rsidRDefault="00ED4F8F" w:rsidP="00ED4F8F">
      <w:pPr>
        <w:jc w:val="right"/>
        <w:rPr>
          <w:b/>
          <w:color w:val="984806"/>
          <w:sz w:val="20"/>
          <w:szCs w:val="20"/>
        </w:rPr>
      </w:pPr>
    </w:p>
    <w:p w:rsidR="00B927A3" w:rsidRDefault="008F6D94" w:rsidP="000C11CB">
      <w:pPr>
        <w:jc w:val="center"/>
        <w:rPr>
          <w:b/>
          <w:color w:val="984806"/>
          <w:sz w:val="40"/>
          <w:szCs w:val="40"/>
        </w:rPr>
      </w:pPr>
      <w:r>
        <w:rPr>
          <w:b/>
          <w:color w:val="984806"/>
          <w:sz w:val="40"/>
          <w:szCs w:val="40"/>
        </w:rPr>
        <w:t>28</w:t>
      </w:r>
      <w:r w:rsidR="00E95F29">
        <w:rPr>
          <w:b/>
          <w:color w:val="984806"/>
          <w:sz w:val="40"/>
          <w:szCs w:val="40"/>
        </w:rPr>
        <w:t xml:space="preserve"> </w:t>
      </w:r>
      <w:r w:rsidR="000E77BE" w:rsidRPr="0051026D">
        <w:rPr>
          <w:b/>
          <w:color w:val="984806"/>
          <w:sz w:val="40"/>
          <w:szCs w:val="40"/>
        </w:rPr>
        <w:t>M</w:t>
      </w:r>
      <w:r>
        <w:rPr>
          <w:b/>
          <w:color w:val="984806"/>
          <w:sz w:val="40"/>
          <w:szCs w:val="40"/>
        </w:rPr>
        <w:t>ay</w:t>
      </w:r>
      <w:r w:rsidR="00E95F29">
        <w:rPr>
          <w:b/>
          <w:color w:val="984806"/>
          <w:sz w:val="40"/>
          <w:szCs w:val="40"/>
        </w:rPr>
        <w:t xml:space="preserve"> </w:t>
      </w:r>
      <w:r w:rsidR="00224F59">
        <w:rPr>
          <w:b/>
          <w:color w:val="984806"/>
          <w:sz w:val="40"/>
          <w:szCs w:val="40"/>
        </w:rPr>
        <w:t>2020</w:t>
      </w:r>
    </w:p>
    <w:p w:rsidR="00427491" w:rsidRPr="0051026D" w:rsidRDefault="00427491" w:rsidP="000C11CB">
      <w:pPr>
        <w:jc w:val="center"/>
        <w:rPr>
          <w:b/>
          <w:color w:val="984806"/>
          <w:sz w:val="40"/>
          <w:szCs w:val="40"/>
        </w:rPr>
        <w:sectPr w:rsidR="00427491" w:rsidRPr="0051026D" w:rsidSect="00B927A3">
          <w:footerReference w:type="even" r:id="rId9"/>
          <w:footerReference w:type="default" r:id="rId10"/>
          <w:pgSz w:w="11907" w:h="16840" w:code="9"/>
          <w:pgMar w:top="1134" w:right="1134" w:bottom="1134" w:left="1134" w:header="720" w:footer="720" w:gutter="0"/>
          <w:cols w:space="720" w:equalWidth="0">
            <w:col w:w="9659"/>
          </w:cols>
          <w:noEndnote/>
        </w:sectPr>
      </w:pPr>
    </w:p>
    <w:p w:rsidR="000C11CB" w:rsidRPr="00895609" w:rsidRDefault="000C11CB" w:rsidP="00CE228C">
      <w:pPr>
        <w:jc w:val="both"/>
        <w:rPr>
          <w:color w:val="000060"/>
          <w:sz w:val="22"/>
          <w:szCs w:val="22"/>
        </w:rPr>
      </w:pPr>
    </w:p>
    <w:p w:rsidR="00CE228C" w:rsidRPr="00895609" w:rsidRDefault="000C11CB" w:rsidP="00CE228C">
      <w:pPr>
        <w:jc w:val="both"/>
        <w:rPr>
          <w:rFonts w:cs="Arial"/>
          <w:b/>
          <w:color w:val="984806"/>
          <w:sz w:val="22"/>
          <w:szCs w:val="22"/>
        </w:rPr>
      </w:pPr>
      <w:r w:rsidRPr="00895609">
        <w:rPr>
          <w:rFonts w:cs="Arial"/>
          <w:b/>
          <w:color w:val="984806"/>
          <w:sz w:val="22"/>
          <w:szCs w:val="22"/>
        </w:rPr>
        <w:t>Table of Contents</w:t>
      </w:r>
    </w:p>
    <w:p w:rsidR="00CE228C" w:rsidRPr="00895609" w:rsidRDefault="00CE228C" w:rsidP="00CE228C">
      <w:pPr>
        <w:jc w:val="both"/>
        <w:rPr>
          <w:rFonts w:cs="Arial"/>
          <w:color w:val="0000CC"/>
          <w:sz w:val="22"/>
          <w:szCs w:val="22"/>
        </w:rPr>
      </w:pPr>
    </w:p>
    <w:p w:rsidR="00112F1D" w:rsidRPr="00567EEB" w:rsidRDefault="001A457F">
      <w:pPr>
        <w:pStyle w:val="TOC2"/>
        <w:tabs>
          <w:tab w:val="left" w:pos="880"/>
          <w:tab w:val="right" w:leader="dot" w:pos="9649"/>
        </w:tabs>
        <w:rPr>
          <w:rFonts w:ascii="Arial" w:eastAsiaTheme="minorEastAsia" w:hAnsi="Arial" w:cs="Arial"/>
          <w:smallCaps w:val="0"/>
          <w:noProof/>
          <w:sz w:val="22"/>
          <w:szCs w:val="22"/>
          <w:lang w:val="en-US"/>
        </w:rPr>
      </w:pPr>
      <w:r w:rsidRPr="001A457F">
        <w:rPr>
          <w:rFonts w:ascii="Arial" w:hAnsi="Arial" w:cs="Arial"/>
          <w:b/>
          <w:color w:val="984806" w:themeColor="accent6" w:themeShade="80"/>
          <w:sz w:val="22"/>
          <w:szCs w:val="22"/>
        </w:rPr>
        <w:fldChar w:fldCharType="begin"/>
      </w:r>
      <w:r w:rsidR="000D78C4" w:rsidRPr="00567EEB">
        <w:rPr>
          <w:rFonts w:ascii="Arial" w:hAnsi="Arial" w:cs="Arial"/>
          <w:b/>
          <w:color w:val="984806" w:themeColor="accent6" w:themeShade="80"/>
          <w:sz w:val="22"/>
          <w:szCs w:val="22"/>
        </w:rPr>
        <w:instrText xml:space="preserve"> TOC \o "1-2" \u </w:instrText>
      </w:r>
      <w:r w:rsidRPr="001A457F">
        <w:rPr>
          <w:rFonts w:ascii="Arial" w:hAnsi="Arial" w:cs="Arial"/>
          <w:b/>
          <w:color w:val="984806" w:themeColor="accent6" w:themeShade="80"/>
          <w:sz w:val="22"/>
          <w:szCs w:val="22"/>
        </w:rPr>
        <w:fldChar w:fldCharType="separate"/>
      </w:r>
      <w:r w:rsidR="00112F1D" w:rsidRPr="00567EEB">
        <w:rPr>
          <w:rFonts w:ascii="Arial" w:hAnsi="Arial" w:cs="Arial"/>
          <w:noProof/>
          <w:color w:val="984806"/>
          <w:sz w:val="22"/>
          <w:szCs w:val="22"/>
        </w:rPr>
        <w:t>1.1</w:t>
      </w:r>
      <w:r w:rsidR="00112F1D" w:rsidRPr="00567EEB">
        <w:rPr>
          <w:rFonts w:ascii="Arial" w:eastAsiaTheme="minorEastAsia" w:hAnsi="Arial" w:cs="Arial"/>
          <w:smallCaps w:val="0"/>
          <w:noProof/>
          <w:sz w:val="22"/>
          <w:szCs w:val="22"/>
          <w:lang w:val="en-US"/>
        </w:rPr>
        <w:tab/>
      </w:r>
      <w:r w:rsidR="00112F1D" w:rsidRPr="00567EEB">
        <w:rPr>
          <w:rFonts w:ascii="Arial" w:hAnsi="Arial" w:cs="Arial"/>
          <w:noProof/>
          <w:color w:val="984806"/>
          <w:sz w:val="22"/>
          <w:szCs w:val="22"/>
        </w:rPr>
        <w:t>Mayor’s Report</w:t>
      </w:r>
      <w:r w:rsidR="00112F1D" w:rsidRPr="00567EEB">
        <w:rPr>
          <w:rFonts w:ascii="Arial" w:hAnsi="Arial" w:cs="Arial"/>
          <w:noProof/>
          <w:sz w:val="22"/>
          <w:szCs w:val="22"/>
        </w:rPr>
        <w:tab/>
      </w:r>
      <w:r w:rsidRPr="00567EEB">
        <w:rPr>
          <w:rFonts w:ascii="Arial" w:hAnsi="Arial" w:cs="Arial"/>
          <w:noProof/>
          <w:sz w:val="22"/>
          <w:szCs w:val="22"/>
        </w:rPr>
        <w:fldChar w:fldCharType="begin"/>
      </w:r>
      <w:r w:rsidR="00112F1D" w:rsidRPr="00567EEB">
        <w:rPr>
          <w:rFonts w:ascii="Arial" w:hAnsi="Arial" w:cs="Arial"/>
          <w:noProof/>
          <w:sz w:val="22"/>
          <w:szCs w:val="22"/>
        </w:rPr>
        <w:instrText xml:space="preserve"> PAGEREF _Toc3962561 \h </w:instrText>
      </w:r>
      <w:r w:rsidRPr="00567EEB">
        <w:rPr>
          <w:rFonts w:ascii="Arial" w:hAnsi="Arial" w:cs="Arial"/>
          <w:noProof/>
          <w:sz w:val="22"/>
          <w:szCs w:val="22"/>
        </w:rPr>
      </w:r>
      <w:r w:rsidRPr="00567EEB">
        <w:rPr>
          <w:rFonts w:ascii="Arial" w:hAnsi="Arial" w:cs="Arial"/>
          <w:noProof/>
          <w:sz w:val="22"/>
          <w:szCs w:val="22"/>
        </w:rPr>
        <w:fldChar w:fldCharType="separate"/>
      </w:r>
      <w:r w:rsidR="00BC5DFB">
        <w:rPr>
          <w:rFonts w:ascii="Arial" w:hAnsi="Arial" w:cs="Arial"/>
          <w:noProof/>
          <w:sz w:val="22"/>
          <w:szCs w:val="22"/>
        </w:rPr>
        <w:t>3</w:t>
      </w:r>
      <w:r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1.2</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Council Resolutions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_Toc3962562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4</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1.3</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Executive Summary</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_Toc3962563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5</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1.4</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Operating Revenue Framework</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_Toc3962564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6</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1.5</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Operating Expenditure Framework</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_Toc3962565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10</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1.6</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Capital expenditure</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_Toc3962566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15</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1.7</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Annual Budget Tables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_Toc3962567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16</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2.1</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Overview of the annual budget process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_Toc3962568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31</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2.2</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Budget Process Overview</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_Toc3962569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31</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2.3</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Overview of alignment of annual budget with IDP</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_Toc3962570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32</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2.4</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Measurable performance objectives and indicators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_Toc3962571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33</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2.5</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Performance indicators and benchmarks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_Toc3962572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36</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2.6</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Overview of budget related-policies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_Toc3962573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37</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2.7</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Overview of budget assumptions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_Toc3962574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38</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2.8</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Overview of budget funding</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_Toc3962575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39</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2.9</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Expenditure on grants and reconciliations of unspent funds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_Toc3962576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46</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2.10</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Contracts having future budgetary implications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_Toc3962577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47</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2.11</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Capital expenditure details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_Toc3962578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47</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2.12</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Legislation compliance status</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_Toc3962579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50</w:t>
      </w:r>
      <w:r w:rsidR="001A457F" w:rsidRPr="00567EEB">
        <w:rPr>
          <w:rFonts w:ascii="Arial" w:hAnsi="Arial" w:cs="Arial"/>
          <w:noProof/>
          <w:sz w:val="22"/>
          <w:szCs w:val="22"/>
        </w:rPr>
        <w:fldChar w:fldCharType="end"/>
      </w:r>
    </w:p>
    <w:p w:rsidR="00112F1D" w:rsidRPr="00567EEB" w:rsidRDefault="00112F1D">
      <w:pPr>
        <w:pStyle w:val="TOC2"/>
        <w:tabs>
          <w:tab w:val="left" w:pos="880"/>
          <w:tab w:val="right" w:leader="dot" w:pos="9649"/>
        </w:tabs>
        <w:rPr>
          <w:rFonts w:ascii="Arial" w:eastAsiaTheme="minorEastAsia" w:hAnsi="Arial" w:cs="Arial"/>
          <w:smallCaps w:val="0"/>
          <w:noProof/>
          <w:sz w:val="22"/>
          <w:szCs w:val="22"/>
          <w:lang w:val="en-US"/>
        </w:rPr>
      </w:pPr>
      <w:r w:rsidRPr="00567EEB">
        <w:rPr>
          <w:rFonts w:ascii="Arial" w:hAnsi="Arial" w:cs="Arial"/>
          <w:noProof/>
          <w:color w:val="984806"/>
          <w:sz w:val="22"/>
          <w:szCs w:val="22"/>
        </w:rPr>
        <w:t>2.13</w:t>
      </w:r>
      <w:r w:rsidRPr="00567EEB">
        <w:rPr>
          <w:rFonts w:ascii="Arial" w:eastAsiaTheme="minorEastAsia" w:hAnsi="Arial" w:cs="Arial"/>
          <w:smallCaps w:val="0"/>
          <w:noProof/>
          <w:sz w:val="22"/>
          <w:szCs w:val="22"/>
          <w:lang w:val="en-US"/>
        </w:rPr>
        <w:tab/>
      </w:r>
      <w:r w:rsidRPr="00567EEB">
        <w:rPr>
          <w:rFonts w:ascii="Arial" w:hAnsi="Arial" w:cs="Arial"/>
          <w:noProof/>
          <w:color w:val="984806"/>
          <w:sz w:val="22"/>
          <w:szCs w:val="22"/>
        </w:rPr>
        <w:t>Municipal manager’s quality certificate</w:t>
      </w:r>
      <w:r w:rsidRPr="00567EEB">
        <w:rPr>
          <w:rFonts w:ascii="Arial" w:hAnsi="Arial" w:cs="Arial"/>
          <w:noProof/>
          <w:sz w:val="22"/>
          <w:szCs w:val="22"/>
        </w:rPr>
        <w:tab/>
      </w:r>
      <w:r w:rsidR="001A457F" w:rsidRPr="00567EEB">
        <w:rPr>
          <w:rFonts w:ascii="Arial" w:hAnsi="Arial" w:cs="Arial"/>
          <w:noProof/>
          <w:sz w:val="22"/>
          <w:szCs w:val="22"/>
        </w:rPr>
        <w:fldChar w:fldCharType="begin"/>
      </w:r>
      <w:r w:rsidRPr="00567EEB">
        <w:rPr>
          <w:rFonts w:ascii="Arial" w:hAnsi="Arial" w:cs="Arial"/>
          <w:noProof/>
          <w:sz w:val="22"/>
          <w:szCs w:val="22"/>
        </w:rPr>
        <w:instrText xml:space="preserve"> PAGEREF _Toc3962580 \h </w:instrText>
      </w:r>
      <w:r w:rsidR="001A457F" w:rsidRPr="00567EEB">
        <w:rPr>
          <w:rFonts w:ascii="Arial" w:hAnsi="Arial" w:cs="Arial"/>
          <w:noProof/>
          <w:sz w:val="22"/>
          <w:szCs w:val="22"/>
        </w:rPr>
      </w:r>
      <w:r w:rsidR="001A457F" w:rsidRPr="00567EEB">
        <w:rPr>
          <w:rFonts w:ascii="Arial" w:hAnsi="Arial" w:cs="Arial"/>
          <w:noProof/>
          <w:sz w:val="22"/>
          <w:szCs w:val="22"/>
        </w:rPr>
        <w:fldChar w:fldCharType="separate"/>
      </w:r>
      <w:r w:rsidR="00BC5DFB">
        <w:rPr>
          <w:rFonts w:ascii="Arial" w:hAnsi="Arial" w:cs="Arial"/>
          <w:noProof/>
          <w:sz w:val="22"/>
          <w:szCs w:val="22"/>
        </w:rPr>
        <w:t>51</w:t>
      </w:r>
      <w:r w:rsidR="001A457F" w:rsidRPr="00567EEB">
        <w:rPr>
          <w:rFonts w:ascii="Arial" w:hAnsi="Arial" w:cs="Arial"/>
          <w:noProof/>
          <w:sz w:val="22"/>
          <w:szCs w:val="22"/>
        </w:rPr>
        <w:fldChar w:fldCharType="end"/>
      </w:r>
    </w:p>
    <w:p w:rsidR="00CE228C" w:rsidRPr="000D3CBF" w:rsidRDefault="001A457F" w:rsidP="000D78C4">
      <w:pPr>
        <w:rPr>
          <w:rFonts w:cs="Arial"/>
          <w:b/>
          <w:color w:val="984806"/>
          <w:sz w:val="22"/>
          <w:szCs w:val="22"/>
        </w:rPr>
      </w:pPr>
      <w:r w:rsidRPr="00567EEB">
        <w:rPr>
          <w:rFonts w:cs="Arial"/>
          <w:b/>
          <w:color w:val="984806" w:themeColor="accent6" w:themeShade="80"/>
          <w:sz w:val="22"/>
          <w:szCs w:val="22"/>
        </w:rPr>
        <w:fldChar w:fldCharType="end"/>
      </w:r>
    </w:p>
    <w:p w:rsidR="00CE228C" w:rsidRPr="0051026D" w:rsidRDefault="00244E6E" w:rsidP="00CE228C">
      <w:pPr>
        <w:jc w:val="both"/>
        <w:rPr>
          <w:b/>
          <w:color w:val="984806"/>
          <w:sz w:val="28"/>
          <w:szCs w:val="28"/>
        </w:rPr>
      </w:pPr>
      <w:r w:rsidRPr="0051026D">
        <w:rPr>
          <w:b/>
          <w:color w:val="984806"/>
          <w:sz w:val="28"/>
          <w:szCs w:val="28"/>
        </w:rPr>
        <w:t>List of tables</w:t>
      </w:r>
    </w:p>
    <w:p w:rsidR="00244E6E" w:rsidRPr="0099418A" w:rsidRDefault="00244E6E" w:rsidP="00CE228C">
      <w:pPr>
        <w:jc w:val="both"/>
        <w:rPr>
          <w:b/>
          <w:color w:val="0000CC"/>
          <w:sz w:val="20"/>
          <w:szCs w:val="20"/>
        </w:rPr>
      </w:pPr>
    </w:p>
    <w:p w:rsidR="00736C5B" w:rsidRDefault="001A457F">
      <w:pPr>
        <w:pStyle w:val="TableofFigures"/>
        <w:tabs>
          <w:tab w:val="left" w:pos="1100"/>
          <w:tab w:val="right" w:leader="dot" w:pos="9649"/>
        </w:tabs>
        <w:rPr>
          <w:rFonts w:asciiTheme="minorHAnsi" w:eastAsiaTheme="minorEastAsia" w:hAnsiTheme="minorHAnsi" w:cstheme="minorBidi"/>
          <w:noProof/>
          <w:lang w:eastAsia="en-ZA"/>
        </w:rPr>
      </w:pPr>
      <w:r w:rsidRPr="001A457F">
        <w:rPr>
          <w:b/>
          <w:color w:val="984806" w:themeColor="accent6" w:themeShade="80"/>
        </w:rPr>
        <w:fldChar w:fldCharType="begin"/>
      </w:r>
      <w:r w:rsidR="00CC2645" w:rsidRPr="00895609">
        <w:rPr>
          <w:b/>
          <w:color w:val="984806" w:themeColor="accent6" w:themeShade="80"/>
        </w:rPr>
        <w:instrText xml:space="preserve"> TOC \f F \t "Caption" \c </w:instrText>
      </w:r>
      <w:r w:rsidRPr="001A457F">
        <w:rPr>
          <w:b/>
          <w:color w:val="984806" w:themeColor="accent6" w:themeShade="80"/>
        </w:rPr>
        <w:fldChar w:fldCharType="separate"/>
      </w:r>
      <w:r w:rsidR="00736C5B" w:rsidRPr="007E7D5C">
        <w:rPr>
          <w:noProof/>
          <w:color w:val="984806"/>
        </w:rPr>
        <w:t>Table 1</w:t>
      </w:r>
      <w:r w:rsidR="00736C5B">
        <w:rPr>
          <w:rFonts w:asciiTheme="minorHAnsi" w:eastAsiaTheme="minorEastAsia" w:hAnsiTheme="minorHAnsi" w:cstheme="minorBidi"/>
          <w:noProof/>
          <w:lang w:eastAsia="en-ZA"/>
        </w:rPr>
        <w:tab/>
      </w:r>
      <w:r w:rsidR="00736C5B" w:rsidRPr="007E7D5C">
        <w:rPr>
          <w:rFonts w:cs="Arial"/>
          <w:noProof/>
          <w:color w:val="984806"/>
        </w:rPr>
        <w:t>C</w:t>
      </w:r>
      <w:r w:rsidR="00567EEB">
        <w:rPr>
          <w:rFonts w:cs="Arial"/>
          <w:noProof/>
          <w:color w:val="984806"/>
        </w:rPr>
        <w:t>ons</w:t>
      </w:r>
      <w:r w:rsidR="00224F59">
        <w:rPr>
          <w:rFonts w:cs="Arial"/>
          <w:noProof/>
          <w:color w:val="984806"/>
        </w:rPr>
        <w:t>olidated Overview of the 2020/21</w:t>
      </w:r>
      <w:r w:rsidR="00736C5B" w:rsidRPr="007E7D5C">
        <w:rPr>
          <w:rFonts w:cs="Arial"/>
          <w:noProof/>
          <w:color w:val="984806"/>
        </w:rPr>
        <w:t xml:space="preserve"> MTREF</w:t>
      </w:r>
      <w:r w:rsidR="00736C5B">
        <w:rPr>
          <w:noProof/>
        </w:rPr>
        <w:tab/>
      </w:r>
      <w:r>
        <w:rPr>
          <w:noProof/>
        </w:rPr>
        <w:fldChar w:fldCharType="begin"/>
      </w:r>
      <w:r w:rsidR="00736C5B">
        <w:rPr>
          <w:noProof/>
        </w:rPr>
        <w:instrText xml:space="preserve"> PAGEREF _Toc509209317 \h </w:instrText>
      </w:r>
      <w:r>
        <w:rPr>
          <w:noProof/>
        </w:rPr>
      </w:r>
      <w:r>
        <w:rPr>
          <w:noProof/>
        </w:rPr>
        <w:fldChar w:fldCharType="separate"/>
      </w:r>
      <w:r w:rsidR="00BC5DFB">
        <w:rPr>
          <w:noProof/>
        </w:rPr>
        <w:t>6</w:t>
      </w:r>
      <w:r>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2</w:t>
      </w:r>
      <w:r>
        <w:rPr>
          <w:rFonts w:asciiTheme="minorHAnsi" w:eastAsiaTheme="minorEastAsia" w:hAnsiTheme="minorHAnsi" w:cstheme="minorBidi"/>
          <w:noProof/>
          <w:lang w:eastAsia="en-ZA"/>
        </w:rPr>
        <w:tab/>
      </w:r>
      <w:r w:rsidRPr="007E7D5C">
        <w:rPr>
          <w:noProof/>
          <w:color w:val="984806"/>
        </w:rPr>
        <w:t>Summary of revenue classified by main revenue source</w:t>
      </w:r>
      <w:r>
        <w:rPr>
          <w:noProof/>
        </w:rPr>
        <w:tab/>
      </w:r>
      <w:r w:rsidR="001A457F">
        <w:rPr>
          <w:noProof/>
        </w:rPr>
        <w:fldChar w:fldCharType="begin"/>
      </w:r>
      <w:r>
        <w:rPr>
          <w:noProof/>
        </w:rPr>
        <w:instrText xml:space="preserve"> PAGEREF _Toc509209318 \h </w:instrText>
      </w:r>
      <w:r w:rsidR="001A457F">
        <w:rPr>
          <w:noProof/>
        </w:rPr>
      </w:r>
      <w:r w:rsidR="001A457F">
        <w:rPr>
          <w:noProof/>
        </w:rPr>
        <w:fldChar w:fldCharType="separate"/>
      </w:r>
      <w:r w:rsidR="00BC5DFB">
        <w:rPr>
          <w:noProof/>
        </w:rPr>
        <w:t>7</w:t>
      </w:r>
      <w:r w:rsidR="001A457F">
        <w:rPr>
          <w:noProof/>
        </w:rPr>
        <w:fldChar w:fldCharType="end"/>
      </w:r>
    </w:p>
    <w:p w:rsidR="00736C5B" w:rsidRDefault="00736C5B">
      <w:pPr>
        <w:pStyle w:val="TableofFigures"/>
        <w:tabs>
          <w:tab w:val="right" w:leader="dot" w:pos="9649"/>
        </w:tabs>
        <w:rPr>
          <w:rFonts w:asciiTheme="minorHAnsi" w:eastAsiaTheme="minorEastAsia" w:hAnsiTheme="minorHAnsi" w:cstheme="minorBidi"/>
          <w:noProof/>
          <w:lang w:eastAsia="en-ZA"/>
        </w:rPr>
      </w:pPr>
      <w:r w:rsidRPr="007E7D5C">
        <w:rPr>
          <w:noProof/>
          <w:color w:val="984806"/>
        </w:rPr>
        <w:t>Fig 1: Revenue by main revenue source</w:t>
      </w:r>
      <w:r>
        <w:rPr>
          <w:noProof/>
        </w:rPr>
        <w:tab/>
      </w:r>
      <w:r w:rsidR="001A457F">
        <w:rPr>
          <w:noProof/>
        </w:rPr>
        <w:fldChar w:fldCharType="begin"/>
      </w:r>
      <w:r>
        <w:rPr>
          <w:noProof/>
        </w:rPr>
        <w:instrText xml:space="preserve"> PAGEREF _Toc509209319 \h </w:instrText>
      </w:r>
      <w:r w:rsidR="001A457F">
        <w:rPr>
          <w:noProof/>
        </w:rPr>
      </w:r>
      <w:r w:rsidR="001A457F">
        <w:rPr>
          <w:noProof/>
        </w:rPr>
        <w:fldChar w:fldCharType="separate"/>
      </w:r>
      <w:r w:rsidR="00BC5DFB">
        <w:rPr>
          <w:noProof/>
        </w:rPr>
        <w:t>8</w:t>
      </w:r>
      <w:r w:rsidR="001A457F">
        <w:rPr>
          <w:noProof/>
        </w:rPr>
        <w:fldChar w:fldCharType="end"/>
      </w:r>
    </w:p>
    <w:p w:rsidR="00736C5B" w:rsidRDefault="00736C5B">
      <w:pPr>
        <w:pStyle w:val="TableofFigures"/>
        <w:tabs>
          <w:tab w:val="right" w:leader="dot" w:pos="9649"/>
        </w:tabs>
        <w:rPr>
          <w:rFonts w:asciiTheme="minorHAnsi" w:eastAsiaTheme="minorEastAsia" w:hAnsiTheme="minorHAnsi" w:cstheme="minorBidi"/>
          <w:noProof/>
          <w:lang w:eastAsia="en-ZA"/>
        </w:rPr>
      </w:pPr>
      <w:r w:rsidRPr="007E7D5C">
        <w:rPr>
          <w:noProof/>
          <w:color w:val="984806"/>
        </w:rPr>
        <w:t>Table 5 Summary of operating expenditure by standard classification item</w:t>
      </w:r>
      <w:r>
        <w:rPr>
          <w:noProof/>
        </w:rPr>
        <w:tab/>
      </w:r>
      <w:r w:rsidR="001A457F">
        <w:rPr>
          <w:noProof/>
        </w:rPr>
        <w:fldChar w:fldCharType="begin"/>
      </w:r>
      <w:r>
        <w:rPr>
          <w:noProof/>
        </w:rPr>
        <w:instrText xml:space="preserve"> PAGEREF _Toc509209321 \h </w:instrText>
      </w:r>
      <w:r w:rsidR="001A457F">
        <w:rPr>
          <w:noProof/>
        </w:rPr>
      </w:r>
      <w:r w:rsidR="001A457F">
        <w:rPr>
          <w:noProof/>
        </w:rPr>
        <w:fldChar w:fldCharType="separate"/>
      </w:r>
      <w:r w:rsidR="00BC5DFB">
        <w:rPr>
          <w:noProof/>
        </w:rPr>
        <w:t>11</w:t>
      </w:r>
      <w:r w:rsidR="001A457F">
        <w:rPr>
          <w:noProof/>
        </w:rPr>
        <w:fldChar w:fldCharType="end"/>
      </w:r>
    </w:p>
    <w:p w:rsidR="00736C5B" w:rsidRDefault="00736C5B">
      <w:pPr>
        <w:pStyle w:val="TableofFigures"/>
        <w:tabs>
          <w:tab w:val="right" w:leader="dot" w:pos="9649"/>
        </w:tabs>
        <w:rPr>
          <w:rFonts w:asciiTheme="minorHAnsi" w:eastAsiaTheme="minorEastAsia" w:hAnsiTheme="minorHAnsi" w:cstheme="minorBidi"/>
          <w:noProof/>
          <w:lang w:eastAsia="en-ZA"/>
        </w:rPr>
      </w:pPr>
      <w:r w:rsidRPr="007E7D5C">
        <w:rPr>
          <w:noProof/>
          <w:color w:val="984806"/>
        </w:rPr>
        <w:t>Table 6 Percentage growth in expenditure by main expenditure type</w:t>
      </w:r>
      <w:r>
        <w:rPr>
          <w:noProof/>
        </w:rPr>
        <w:tab/>
      </w:r>
      <w:r w:rsidR="001A457F">
        <w:rPr>
          <w:noProof/>
        </w:rPr>
        <w:fldChar w:fldCharType="begin"/>
      </w:r>
      <w:r>
        <w:rPr>
          <w:noProof/>
        </w:rPr>
        <w:instrText xml:space="preserve"> PAGEREF _Toc509209322 \h </w:instrText>
      </w:r>
      <w:r w:rsidR="001A457F">
        <w:rPr>
          <w:noProof/>
        </w:rPr>
      </w:r>
      <w:r w:rsidR="001A457F">
        <w:rPr>
          <w:noProof/>
        </w:rPr>
        <w:fldChar w:fldCharType="separate"/>
      </w:r>
      <w:r w:rsidR="00BC5DFB">
        <w:rPr>
          <w:noProof/>
        </w:rPr>
        <w:t>11</w:t>
      </w:r>
      <w:r w:rsidR="001A457F">
        <w:rPr>
          <w:noProof/>
        </w:rPr>
        <w:fldChar w:fldCharType="end"/>
      </w:r>
    </w:p>
    <w:p w:rsidR="00736C5B" w:rsidRDefault="00736C5B">
      <w:pPr>
        <w:pStyle w:val="TableofFigures"/>
        <w:tabs>
          <w:tab w:val="right" w:leader="dot" w:pos="9649"/>
        </w:tabs>
        <w:rPr>
          <w:rFonts w:asciiTheme="minorHAnsi" w:eastAsiaTheme="minorEastAsia" w:hAnsiTheme="minorHAnsi" w:cstheme="minorBidi"/>
          <w:noProof/>
          <w:lang w:eastAsia="en-ZA"/>
        </w:rPr>
      </w:pPr>
      <w:r w:rsidRPr="007E7D5C">
        <w:rPr>
          <w:noProof/>
          <w:color w:val="984806"/>
        </w:rPr>
        <w:t>Fig 2: Expenditure by major type</w:t>
      </w:r>
      <w:r>
        <w:rPr>
          <w:noProof/>
        </w:rPr>
        <w:tab/>
      </w:r>
      <w:r w:rsidR="001A457F">
        <w:rPr>
          <w:noProof/>
        </w:rPr>
        <w:fldChar w:fldCharType="begin"/>
      </w:r>
      <w:r>
        <w:rPr>
          <w:noProof/>
        </w:rPr>
        <w:instrText xml:space="preserve"> PAGEREF _Toc509209323 \h </w:instrText>
      </w:r>
      <w:r w:rsidR="001A457F">
        <w:rPr>
          <w:noProof/>
        </w:rPr>
      </w:r>
      <w:r w:rsidR="001A457F">
        <w:rPr>
          <w:noProof/>
        </w:rPr>
        <w:fldChar w:fldCharType="separate"/>
      </w:r>
      <w:r w:rsidR="00BC5DFB">
        <w:rPr>
          <w:noProof/>
        </w:rPr>
        <w:t>12</w:t>
      </w:r>
      <w:r w:rsidR="001A457F">
        <w:rPr>
          <w:noProof/>
        </w:rPr>
        <w:fldChar w:fldCharType="end"/>
      </w:r>
    </w:p>
    <w:p w:rsidR="00736C5B" w:rsidRDefault="00736C5B">
      <w:pPr>
        <w:pStyle w:val="TableofFigures"/>
        <w:tabs>
          <w:tab w:val="right" w:leader="dot" w:pos="9649"/>
        </w:tabs>
        <w:rPr>
          <w:rFonts w:asciiTheme="minorHAnsi" w:eastAsiaTheme="minorEastAsia" w:hAnsiTheme="minorHAnsi" w:cstheme="minorBidi"/>
          <w:noProof/>
          <w:lang w:eastAsia="en-ZA"/>
        </w:rPr>
      </w:pPr>
      <w:r w:rsidRPr="007E7D5C">
        <w:rPr>
          <w:noProof/>
          <w:color w:val="984806"/>
        </w:rPr>
        <w:t xml:space="preserve">Fig 3: </w:t>
      </w:r>
      <w:r w:rsidR="00567EEB">
        <w:rPr>
          <w:noProof/>
          <w:color w:val="984806"/>
        </w:rPr>
        <w:t>Exp</w:t>
      </w:r>
      <w:r w:rsidR="00224F59">
        <w:rPr>
          <w:noProof/>
          <w:color w:val="984806"/>
        </w:rPr>
        <w:t>enditure by major type – 2020/21</w:t>
      </w:r>
      <w:r>
        <w:rPr>
          <w:noProof/>
        </w:rPr>
        <w:tab/>
      </w:r>
      <w:r w:rsidR="001A457F">
        <w:rPr>
          <w:noProof/>
        </w:rPr>
        <w:fldChar w:fldCharType="begin"/>
      </w:r>
      <w:r>
        <w:rPr>
          <w:noProof/>
        </w:rPr>
        <w:instrText xml:space="preserve"> PAGEREF _Toc509209324 \h </w:instrText>
      </w:r>
      <w:r w:rsidR="001A457F">
        <w:rPr>
          <w:noProof/>
        </w:rPr>
      </w:r>
      <w:r w:rsidR="001A457F">
        <w:rPr>
          <w:noProof/>
        </w:rPr>
        <w:fldChar w:fldCharType="separate"/>
      </w:r>
      <w:r w:rsidR="00BC5DFB">
        <w:rPr>
          <w:noProof/>
        </w:rPr>
        <w:t>14</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7</w:t>
      </w:r>
      <w:r>
        <w:rPr>
          <w:rFonts w:asciiTheme="minorHAnsi" w:eastAsiaTheme="minorEastAsia" w:hAnsiTheme="minorHAnsi" w:cstheme="minorBidi"/>
          <w:noProof/>
          <w:lang w:eastAsia="en-ZA"/>
        </w:rPr>
        <w:tab/>
      </w:r>
      <w:r w:rsidR="00224F59">
        <w:rPr>
          <w:noProof/>
          <w:color w:val="984806"/>
        </w:rPr>
        <w:t>2020/21</w:t>
      </w:r>
      <w:r w:rsidRPr="007E7D5C">
        <w:rPr>
          <w:noProof/>
          <w:color w:val="984806"/>
        </w:rPr>
        <w:t xml:space="preserve"> Medium-term capital budget per vote</w:t>
      </w:r>
      <w:r>
        <w:rPr>
          <w:noProof/>
        </w:rPr>
        <w:tab/>
      </w:r>
      <w:r w:rsidR="001A457F">
        <w:rPr>
          <w:noProof/>
        </w:rPr>
        <w:fldChar w:fldCharType="begin"/>
      </w:r>
      <w:r>
        <w:rPr>
          <w:noProof/>
        </w:rPr>
        <w:instrText xml:space="preserve"> PAGEREF _Toc509209325 \h </w:instrText>
      </w:r>
      <w:r w:rsidR="001A457F">
        <w:rPr>
          <w:noProof/>
        </w:rPr>
      </w:r>
      <w:r w:rsidR="001A457F">
        <w:rPr>
          <w:noProof/>
        </w:rPr>
        <w:fldChar w:fldCharType="separate"/>
      </w:r>
      <w:r w:rsidR="00BC5DFB">
        <w:rPr>
          <w:noProof/>
        </w:rPr>
        <w:t>15</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8</w:t>
      </w:r>
      <w:r>
        <w:rPr>
          <w:rFonts w:asciiTheme="minorHAnsi" w:eastAsiaTheme="minorEastAsia" w:hAnsiTheme="minorHAnsi" w:cstheme="minorBidi"/>
          <w:noProof/>
          <w:lang w:eastAsia="en-ZA"/>
        </w:rPr>
        <w:tab/>
      </w:r>
      <w:r w:rsidRPr="007E7D5C">
        <w:rPr>
          <w:noProof/>
          <w:color w:val="984806"/>
        </w:rPr>
        <w:t>MBRR NT A1 - Budget Summary</w:t>
      </w:r>
      <w:r>
        <w:rPr>
          <w:noProof/>
        </w:rPr>
        <w:tab/>
      </w:r>
      <w:r w:rsidR="001A457F">
        <w:rPr>
          <w:noProof/>
        </w:rPr>
        <w:fldChar w:fldCharType="begin"/>
      </w:r>
      <w:r>
        <w:rPr>
          <w:noProof/>
        </w:rPr>
        <w:instrText xml:space="preserve"> PAGEREF _Toc509209326 \h </w:instrText>
      </w:r>
      <w:r w:rsidR="001A457F">
        <w:rPr>
          <w:noProof/>
        </w:rPr>
      </w:r>
      <w:r w:rsidR="001A457F">
        <w:rPr>
          <w:noProof/>
        </w:rPr>
        <w:fldChar w:fldCharType="separate"/>
      </w:r>
      <w:r w:rsidR="00BC5DFB">
        <w:rPr>
          <w:noProof/>
        </w:rPr>
        <w:t>16</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10</w:t>
      </w:r>
      <w:r>
        <w:rPr>
          <w:rFonts w:asciiTheme="minorHAnsi" w:eastAsiaTheme="minorEastAsia" w:hAnsiTheme="minorHAnsi" w:cstheme="minorBidi"/>
          <w:noProof/>
          <w:lang w:eastAsia="en-ZA"/>
        </w:rPr>
        <w:tab/>
      </w:r>
      <w:r w:rsidRPr="007E7D5C">
        <w:rPr>
          <w:noProof/>
          <w:color w:val="984806"/>
        </w:rPr>
        <w:t>MBRR NT A3 - Budgeted Financial Performance (revenue and expenditure by municipal vote)</w:t>
      </w:r>
      <w:r>
        <w:rPr>
          <w:noProof/>
        </w:rPr>
        <w:tab/>
      </w:r>
      <w:r w:rsidR="001A457F">
        <w:rPr>
          <w:noProof/>
        </w:rPr>
        <w:fldChar w:fldCharType="begin"/>
      </w:r>
      <w:r>
        <w:rPr>
          <w:noProof/>
        </w:rPr>
        <w:instrText xml:space="preserve"> PAGEREF _Toc509209328 \h </w:instrText>
      </w:r>
      <w:r w:rsidR="001A457F">
        <w:rPr>
          <w:noProof/>
        </w:rPr>
      </w:r>
      <w:r w:rsidR="001A457F">
        <w:rPr>
          <w:noProof/>
        </w:rPr>
        <w:fldChar w:fldCharType="separate"/>
      </w:r>
      <w:r w:rsidR="00BC5DFB">
        <w:rPr>
          <w:noProof/>
        </w:rPr>
        <w:t>21</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11</w:t>
      </w:r>
      <w:r>
        <w:rPr>
          <w:rFonts w:asciiTheme="minorHAnsi" w:eastAsiaTheme="minorEastAsia" w:hAnsiTheme="minorHAnsi" w:cstheme="minorBidi"/>
          <w:noProof/>
          <w:lang w:eastAsia="en-ZA"/>
        </w:rPr>
        <w:tab/>
      </w:r>
      <w:r w:rsidRPr="007E7D5C">
        <w:rPr>
          <w:noProof/>
          <w:color w:val="984806"/>
        </w:rPr>
        <w:t>MBRR NT A4 - Budgeted Financial Performance (revenue and expenditure)</w:t>
      </w:r>
      <w:r>
        <w:rPr>
          <w:noProof/>
        </w:rPr>
        <w:tab/>
      </w:r>
      <w:r w:rsidR="001A457F">
        <w:rPr>
          <w:noProof/>
        </w:rPr>
        <w:fldChar w:fldCharType="begin"/>
      </w:r>
      <w:r>
        <w:rPr>
          <w:noProof/>
        </w:rPr>
        <w:instrText xml:space="preserve"> PAGEREF _Toc509209329 \h </w:instrText>
      </w:r>
      <w:r w:rsidR="001A457F">
        <w:rPr>
          <w:noProof/>
        </w:rPr>
      </w:r>
      <w:r w:rsidR="001A457F">
        <w:rPr>
          <w:noProof/>
        </w:rPr>
        <w:fldChar w:fldCharType="separate"/>
      </w:r>
      <w:r w:rsidR="00BC5DFB">
        <w:rPr>
          <w:noProof/>
        </w:rPr>
        <w:t>23</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12</w:t>
      </w:r>
      <w:r>
        <w:rPr>
          <w:rFonts w:asciiTheme="minorHAnsi" w:eastAsiaTheme="minorEastAsia" w:hAnsiTheme="minorHAnsi" w:cstheme="minorBidi"/>
          <w:noProof/>
          <w:lang w:eastAsia="en-ZA"/>
        </w:rPr>
        <w:tab/>
      </w:r>
      <w:r w:rsidRPr="007E7D5C">
        <w:rPr>
          <w:noProof/>
          <w:color w:val="984806"/>
        </w:rPr>
        <w:t>MBRR NT A5 - Budgeted Capital Expenditure by vote, standard classification and funding source</w:t>
      </w:r>
      <w:r>
        <w:rPr>
          <w:noProof/>
        </w:rPr>
        <w:tab/>
      </w:r>
      <w:r w:rsidR="001A457F">
        <w:rPr>
          <w:noProof/>
        </w:rPr>
        <w:fldChar w:fldCharType="begin"/>
      </w:r>
      <w:r>
        <w:rPr>
          <w:noProof/>
        </w:rPr>
        <w:instrText xml:space="preserve"> PAGEREF _Toc509209330 \h </w:instrText>
      </w:r>
      <w:r w:rsidR="001A457F">
        <w:rPr>
          <w:noProof/>
        </w:rPr>
      </w:r>
      <w:r w:rsidR="001A457F">
        <w:rPr>
          <w:noProof/>
        </w:rPr>
        <w:fldChar w:fldCharType="separate"/>
      </w:r>
      <w:r w:rsidR="00BC5DFB">
        <w:rPr>
          <w:noProof/>
        </w:rPr>
        <w:t>25</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13</w:t>
      </w:r>
      <w:r>
        <w:rPr>
          <w:rFonts w:asciiTheme="minorHAnsi" w:eastAsiaTheme="minorEastAsia" w:hAnsiTheme="minorHAnsi" w:cstheme="minorBidi"/>
          <w:noProof/>
          <w:lang w:eastAsia="en-ZA"/>
        </w:rPr>
        <w:tab/>
      </w:r>
      <w:r w:rsidRPr="007E7D5C">
        <w:rPr>
          <w:noProof/>
          <w:color w:val="984806"/>
        </w:rPr>
        <w:t>MBRR NT A6 - Budgeted Financial Position</w:t>
      </w:r>
      <w:r>
        <w:rPr>
          <w:noProof/>
        </w:rPr>
        <w:tab/>
      </w:r>
      <w:r w:rsidR="001A457F">
        <w:rPr>
          <w:noProof/>
        </w:rPr>
        <w:fldChar w:fldCharType="begin"/>
      </w:r>
      <w:r>
        <w:rPr>
          <w:noProof/>
        </w:rPr>
        <w:instrText xml:space="preserve"> PAGEREF _Toc509209331 \h </w:instrText>
      </w:r>
      <w:r w:rsidR="001A457F">
        <w:rPr>
          <w:noProof/>
        </w:rPr>
      </w:r>
      <w:r w:rsidR="001A457F">
        <w:rPr>
          <w:noProof/>
        </w:rPr>
        <w:fldChar w:fldCharType="separate"/>
      </w:r>
      <w:r w:rsidR="00BC5DFB">
        <w:rPr>
          <w:noProof/>
        </w:rPr>
        <w:t>27</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14</w:t>
      </w:r>
      <w:r>
        <w:rPr>
          <w:rFonts w:asciiTheme="minorHAnsi" w:eastAsiaTheme="minorEastAsia" w:hAnsiTheme="minorHAnsi" w:cstheme="minorBidi"/>
          <w:noProof/>
          <w:lang w:eastAsia="en-ZA"/>
        </w:rPr>
        <w:tab/>
      </w:r>
      <w:r w:rsidRPr="007E7D5C">
        <w:rPr>
          <w:noProof/>
          <w:color w:val="984806"/>
        </w:rPr>
        <w:t>MBRR NT A7 - Budgeted Cash Flow Statement</w:t>
      </w:r>
      <w:r>
        <w:rPr>
          <w:noProof/>
        </w:rPr>
        <w:tab/>
      </w:r>
      <w:r w:rsidR="001A457F">
        <w:rPr>
          <w:noProof/>
        </w:rPr>
        <w:fldChar w:fldCharType="begin"/>
      </w:r>
      <w:r>
        <w:rPr>
          <w:noProof/>
        </w:rPr>
        <w:instrText xml:space="preserve"> PAGEREF _Toc509209333 \h </w:instrText>
      </w:r>
      <w:r w:rsidR="001A457F">
        <w:rPr>
          <w:noProof/>
        </w:rPr>
      </w:r>
      <w:r w:rsidR="001A457F">
        <w:rPr>
          <w:noProof/>
        </w:rPr>
        <w:fldChar w:fldCharType="separate"/>
      </w:r>
      <w:r w:rsidR="00BC5DFB">
        <w:rPr>
          <w:noProof/>
        </w:rPr>
        <w:t>29</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15</w:t>
      </w:r>
      <w:r>
        <w:rPr>
          <w:rFonts w:asciiTheme="minorHAnsi" w:eastAsiaTheme="minorEastAsia" w:hAnsiTheme="minorHAnsi" w:cstheme="minorBidi"/>
          <w:noProof/>
          <w:lang w:eastAsia="en-ZA"/>
        </w:rPr>
        <w:tab/>
      </w:r>
      <w:r w:rsidRPr="007E7D5C">
        <w:rPr>
          <w:noProof/>
          <w:color w:val="984806"/>
        </w:rPr>
        <w:t>MBRR NT SA8 – Performance indicators and benchmarks</w:t>
      </w:r>
      <w:r>
        <w:rPr>
          <w:noProof/>
        </w:rPr>
        <w:tab/>
      </w:r>
      <w:r w:rsidR="001A457F">
        <w:rPr>
          <w:noProof/>
        </w:rPr>
        <w:fldChar w:fldCharType="begin"/>
      </w:r>
      <w:r>
        <w:rPr>
          <w:noProof/>
        </w:rPr>
        <w:instrText xml:space="preserve"> PAGEREF _Toc509209334 \h </w:instrText>
      </w:r>
      <w:r w:rsidR="001A457F">
        <w:rPr>
          <w:noProof/>
        </w:rPr>
      </w:r>
      <w:r w:rsidR="001A457F">
        <w:rPr>
          <w:noProof/>
        </w:rPr>
        <w:fldChar w:fldCharType="separate"/>
      </w:r>
      <w:r w:rsidR="00BC5DFB">
        <w:rPr>
          <w:noProof/>
        </w:rPr>
        <w:t>35</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16</w:t>
      </w:r>
      <w:r>
        <w:rPr>
          <w:rFonts w:asciiTheme="minorHAnsi" w:eastAsiaTheme="minorEastAsia" w:hAnsiTheme="minorHAnsi" w:cstheme="minorBidi"/>
          <w:noProof/>
          <w:lang w:eastAsia="en-ZA"/>
        </w:rPr>
        <w:tab/>
      </w:r>
      <w:r w:rsidRPr="007E7D5C">
        <w:rPr>
          <w:rFonts w:cs="Arial"/>
          <w:noProof/>
          <w:color w:val="984806"/>
        </w:rPr>
        <w:t>Breakdown of the operating revenue over the medium-term</w:t>
      </w:r>
      <w:r>
        <w:rPr>
          <w:noProof/>
        </w:rPr>
        <w:tab/>
      </w:r>
      <w:r w:rsidR="001A457F">
        <w:rPr>
          <w:noProof/>
        </w:rPr>
        <w:fldChar w:fldCharType="begin"/>
      </w:r>
      <w:r>
        <w:rPr>
          <w:noProof/>
        </w:rPr>
        <w:instrText xml:space="preserve"> PAGEREF _Toc509209335 \h </w:instrText>
      </w:r>
      <w:r w:rsidR="001A457F">
        <w:rPr>
          <w:noProof/>
        </w:rPr>
      </w:r>
      <w:r w:rsidR="001A457F">
        <w:rPr>
          <w:noProof/>
        </w:rPr>
        <w:fldChar w:fldCharType="separate"/>
      </w:r>
      <w:r w:rsidR="00BC5DFB">
        <w:rPr>
          <w:noProof/>
        </w:rPr>
        <w:t>40</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17</w:t>
      </w:r>
      <w:r>
        <w:rPr>
          <w:rFonts w:asciiTheme="minorHAnsi" w:eastAsiaTheme="minorEastAsia" w:hAnsiTheme="minorHAnsi" w:cstheme="minorBidi"/>
          <w:noProof/>
          <w:lang w:eastAsia="en-ZA"/>
        </w:rPr>
        <w:tab/>
      </w:r>
      <w:r w:rsidRPr="007E7D5C">
        <w:rPr>
          <w:noProof/>
          <w:color w:val="984806"/>
        </w:rPr>
        <w:t>Sources of capital revenue over the MTREF</w:t>
      </w:r>
      <w:r>
        <w:rPr>
          <w:noProof/>
        </w:rPr>
        <w:tab/>
      </w:r>
      <w:r w:rsidR="001A457F">
        <w:rPr>
          <w:noProof/>
        </w:rPr>
        <w:fldChar w:fldCharType="begin"/>
      </w:r>
      <w:r>
        <w:rPr>
          <w:noProof/>
        </w:rPr>
        <w:instrText xml:space="preserve"> PAGEREF _Toc509209337 \h </w:instrText>
      </w:r>
      <w:r w:rsidR="001A457F">
        <w:rPr>
          <w:noProof/>
        </w:rPr>
      </w:r>
      <w:r w:rsidR="001A457F">
        <w:rPr>
          <w:noProof/>
        </w:rPr>
        <w:fldChar w:fldCharType="separate"/>
      </w:r>
      <w:r w:rsidR="00BC5DFB">
        <w:rPr>
          <w:noProof/>
        </w:rPr>
        <w:t>40</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18</w:t>
      </w:r>
      <w:r>
        <w:rPr>
          <w:rFonts w:asciiTheme="minorHAnsi" w:eastAsiaTheme="minorEastAsia" w:hAnsiTheme="minorHAnsi" w:cstheme="minorBidi"/>
          <w:noProof/>
          <w:lang w:eastAsia="en-ZA"/>
        </w:rPr>
        <w:tab/>
      </w:r>
      <w:r w:rsidRPr="007E7D5C">
        <w:rPr>
          <w:rFonts w:cs="Arial"/>
          <w:noProof/>
          <w:color w:val="984806"/>
        </w:rPr>
        <w:t>MBRR NT A7 - Budget cash flow statement</w:t>
      </w:r>
      <w:r>
        <w:rPr>
          <w:noProof/>
        </w:rPr>
        <w:tab/>
      </w:r>
      <w:r w:rsidR="001A457F">
        <w:rPr>
          <w:noProof/>
        </w:rPr>
        <w:fldChar w:fldCharType="begin"/>
      </w:r>
      <w:r>
        <w:rPr>
          <w:noProof/>
        </w:rPr>
        <w:instrText xml:space="preserve"> PAGEREF _Toc509209338 \h </w:instrText>
      </w:r>
      <w:r w:rsidR="001A457F">
        <w:rPr>
          <w:noProof/>
        </w:rPr>
      </w:r>
      <w:r w:rsidR="001A457F">
        <w:rPr>
          <w:noProof/>
        </w:rPr>
        <w:fldChar w:fldCharType="separate"/>
      </w:r>
      <w:r w:rsidR="00BC5DFB">
        <w:rPr>
          <w:noProof/>
        </w:rPr>
        <w:t>41</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noProof/>
          <w:color w:val="984806"/>
        </w:rPr>
        <w:t>Table 19</w:t>
      </w:r>
      <w:r>
        <w:rPr>
          <w:rFonts w:asciiTheme="minorHAnsi" w:eastAsiaTheme="minorEastAsia" w:hAnsiTheme="minorHAnsi" w:cstheme="minorBidi"/>
          <w:noProof/>
          <w:lang w:eastAsia="en-ZA"/>
        </w:rPr>
        <w:tab/>
      </w:r>
      <w:r w:rsidRPr="007E7D5C">
        <w:rPr>
          <w:rFonts w:cs="Arial"/>
          <w:noProof/>
          <w:color w:val="984806"/>
        </w:rPr>
        <w:t>MBRR NT A8 - Cash backed reserves/accumulated surplus reconciliation</w:t>
      </w:r>
      <w:r>
        <w:rPr>
          <w:noProof/>
        </w:rPr>
        <w:tab/>
      </w:r>
      <w:r w:rsidR="001A457F">
        <w:rPr>
          <w:noProof/>
        </w:rPr>
        <w:fldChar w:fldCharType="begin"/>
      </w:r>
      <w:r>
        <w:rPr>
          <w:noProof/>
        </w:rPr>
        <w:instrText xml:space="preserve"> PAGEREF _Toc509209339 \h </w:instrText>
      </w:r>
      <w:r w:rsidR="001A457F">
        <w:rPr>
          <w:noProof/>
        </w:rPr>
      </w:r>
      <w:r w:rsidR="001A457F">
        <w:rPr>
          <w:noProof/>
        </w:rPr>
        <w:fldChar w:fldCharType="separate"/>
      </w:r>
      <w:r w:rsidR="00BC5DFB">
        <w:rPr>
          <w:noProof/>
        </w:rPr>
        <w:t>42</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rFonts w:cs="Arial"/>
          <w:noProof/>
          <w:color w:val="984806"/>
        </w:rPr>
        <w:t>Table 20</w:t>
      </w:r>
      <w:r>
        <w:rPr>
          <w:rFonts w:asciiTheme="minorHAnsi" w:eastAsiaTheme="minorEastAsia" w:hAnsiTheme="minorHAnsi" w:cstheme="minorBidi"/>
          <w:noProof/>
          <w:lang w:eastAsia="en-ZA"/>
        </w:rPr>
        <w:tab/>
      </w:r>
      <w:r w:rsidRPr="007E7D5C">
        <w:rPr>
          <w:rFonts w:cs="Arial"/>
          <w:noProof/>
          <w:color w:val="984806"/>
        </w:rPr>
        <w:t>MBRR NT SA10 - Funding compliance measurement</w:t>
      </w:r>
      <w:r>
        <w:rPr>
          <w:noProof/>
        </w:rPr>
        <w:tab/>
      </w:r>
      <w:r w:rsidR="001A457F">
        <w:rPr>
          <w:noProof/>
        </w:rPr>
        <w:fldChar w:fldCharType="begin"/>
      </w:r>
      <w:r>
        <w:rPr>
          <w:noProof/>
        </w:rPr>
        <w:instrText xml:space="preserve"> PAGEREF _Toc509209340 \h </w:instrText>
      </w:r>
      <w:r w:rsidR="001A457F">
        <w:rPr>
          <w:noProof/>
        </w:rPr>
      </w:r>
      <w:r w:rsidR="001A457F">
        <w:rPr>
          <w:noProof/>
        </w:rPr>
        <w:fldChar w:fldCharType="separate"/>
      </w:r>
      <w:r w:rsidR="00BC5DFB">
        <w:rPr>
          <w:noProof/>
        </w:rPr>
        <w:t>44</w:t>
      </w:r>
      <w:r w:rsidR="001A457F">
        <w:rPr>
          <w:noProof/>
        </w:rPr>
        <w:fldChar w:fldCharType="end"/>
      </w:r>
    </w:p>
    <w:p w:rsidR="00736C5B" w:rsidRDefault="00736C5B">
      <w:pPr>
        <w:pStyle w:val="TableofFigures"/>
        <w:tabs>
          <w:tab w:val="left" w:pos="1100"/>
          <w:tab w:val="right" w:leader="dot" w:pos="9649"/>
        </w:tabs>
        <w:rPr>
          <w:rFonts w:asciiTheme="minorHAnsi" w:eastAsiaTheme="minorEastAsia" w:hAnsiTheme="minorHAnsi" w:cstheme="minorBidi"/>
          <w:noProof/>
          <w:lang w:eastAsia="en-ZA"/>
        </w:rPr>
      </w:pPr>
      <w:r w:rsidRPr="007E7D5C">
        <w:rPr>
          <w:rFonts w:cs="Arial"/>
          <w:noProof/>
          <w:color w:val="984806"/>
        </w:rPr>
        <w:t>Table 21</w:t>
      </w:r>
      <w:r>
        <w:rPr>
          <w:rFonts w:asciiTheme="minorHAnsi" w:eastAsiaTheme="minorEastAsia" w:hAnsiTheme="minorHAnsi" w:cstheme="minorBidi"/>
          <w:noProof/>
          <w:lang w:eastAsia="en-ZA"/>
        </w:rPr>
        <w:tab/>
      </w:r>
      <w:r w:rsidRPr="007E7D5C">
        <w:rPr>
          <w:rFonts w:cs="Arial"/>
          <w:noProof/>
          <w:color w:val="984806"/>
        </w:rPr>
        <w:t>MBRR SA19 - Expenditure on transfers and grant programmes</w:t>
      </w:r>
      <w:r>
        <w:rPr>
          <w:noProof/>
        </w:rPr>
        <w:tab/>
      </w:r>
      <w:r w:rsidR="001A457F">
        <w:rPr>
          <w:noProof/>
        </w:rPr>
        <w:fldChar w:fldCharType="begin"/>
      </w:r>
      <w:r>
        <w:rPr>
          <w:noProof/>
        </w:rPr>
        <w:instrText xml:space="preserve"> PAGEREF _Toc509209341 \h </w:instrText>
      </w:r>
      <w:r w:rsidR="001A457F">
        <w:rPr>
          <w:noProof/>
        </w:rPr>
      </w:r>
      <w:r w:rsidR="001A457F">
        <w:rPr>
          <w:noProof/>
        </w:rPr>
        <w:fldChar w:fldCharType="separate"/>
      </w:r>
      <w:r w:rsidR="00BC5DFB">
        <w:rPr>
          <w:noProof/>
        </w:rPr>
        <w:t>46</w:t>
      </w:r>
      <w:r w:rsidR="001A457F">
        <w:rPr>
          <w:noProof/>
        </w:rPr>
        <w:fldChar w:fldCharType="end"/>
      </w:r>
    </w:p>
    <w:p w:rsidR="00736C5B" w:rsidRDefault="00567EEB">
      <w:pPr>
        <w:pStyle w:val="TableofFigures"/>
        <w:tabs>
          <w:tab w:val="right" w:leader="dot" w:pos="9649"/>
        </w:tabs>
        <w:rPr>
          <w:rFonts w:asciiTheme="minorHAnsi" w:eastAsiaTheme="minorEastAsia" w:hAnsiTheme="minorHAnsi" w:cstheme="minorBidi"/>
          <w:noProof/>
          <w:lang w:eastAsia="en-ZA"/>
        </w:rPr>
      </w:pPr>
      <w:r>
        <w:rPr>
          <w:rFonts w:cs="Arial"/>
          <w:noProof/>
          <w:color w:val="984806"/>
        </w:rPr>
        <w:t>Table 22 2019/20</w:t>
      </w:r>
      <w:r w:rsidR="00736C5B" w:rsidRPr="007E7D5C">
        <w:rPr>
          <w:rFonts w:cs="Arial"/>
          <w:noProof/>
          <w:color w:val="984806"/>
        </w:rPr>
        <w:t xml:space="preserve"> Capital expenditure by asset class</w:t>
      </w:r>
      <w:r w:rsidR="00736C5B">
        <w:rPr>
          <w:noProof/>
        </w:rPr>
        <w:tab/>
      </w:r>
      <w:r w:rsidR="001A457F">
        <w:rPr>
          <w:noProof/>
        </w:rPr>
        <w:fldChar w:fldCharType="begin"/>
      </w:r>
      <w:r w:rsidR="00736C5B">
        <w:rPr>
          <w:noProof/>
        </w:rPr>
        <w:instrText xml:space="preserve"> PAGEREF _Toc509209342 \h </w:instrText>
      </w:r>
      <w:r w:rsidR="001A457F">
        <w:rPr>
          <w:noProof/>
        </w:rPr>
      </w:r>
      <w:r w:rsidR="001A457F">
        <w:rPr>
          <w:noProof/>
        </w:rPr>
        <w:fldChar w:fldCharType="separate"/>
      </w:r>
      <w:r w:rsidR="00BC5DFB">
        <w:rPr>
          <w:noProof/>
        </w:rPr>
        <w:t>47</w:t>
      </w:r>
      <w:r w:rsidR="001A457F">
        <w:rPr>
          <w:noProof/>
        </w:rPr>
        <w:fldChar w:fldCharType="end"/>
      </w:r>
    </w:p>
    <w:p w:rsidR="00B919EC" w:rsidRPr="00B064E6" w:rsidRDefault="001A457F" w:rsidP="008C291F">
      <w:pPr>
        <w:jc w:val="both"/>
        <w:rPr>
          <w:b/>
          <w:color w:val="984806"/>
          <w:sz w:val="32"/>
          <w:szCs w:val="32"/>
        </w:rPr>
      </w:pPr>
      <w:r w:rsidRPr="00895609">
        <w:rPr>
          <w:b/>
          <w:color w:val="984806"/>
          <w:sz w:val="22"/>
          <w:szCs w:val="22"/>
        </w:rPr>
        <w:lastRenderedPageBreak/>
        <w:fldChar w:fldCharType="end"/>
      </w:r>
      <w:bookmarkStart w:id="0" w:name="_Toc286034680"/>
      <w:bookmarkStart w:id="1" w:name="_Toc286041431"/>
      <w:bookmarkStart w:id="2" w:name="_Toc286041500"/>
      <w:bookmarkStart w:id="3" w:name="_Toc286117310"/>
      <w:bookmarkStart w:id="4" w:name="_Toc287342521"/>
      <w:bookmarkStart w:id="5" w:name="_Toc287796992"/>
      <w:r w:rsidR="00B919EC" w:rsidRPr="00B064E6">
        <w:rPr>
          <w:b/>
          <w:color w:val="984806"/>
          <w:sz w:val="32"/>
          <w:szCs w:val="32"/>
        </w:rPr>
        <w:t>Part 1 – Annual Budget</w:t>
      </w:r>
      <w:bookmarkEnd w:id="0"/>
      <w:bookmarkEnd w:id="1"/>
      <w:bookmarkEnd w:id="2"/>
      <w:bookmarkEnd w:id="3"/>
      <w:bookmarkEnd w:id="4"/>
      <w:bookmarkEnd w:id="5"/>
    </w:p>
    <w:p w:rsidR="006B3881" w:rsidRPr="00B064E6" w:rsidRDefault="006B3881" w:rsidP="00282C04">
      <w:pPr>
        <w:spacing w:line="276" w:lineRule="auto"/>
        <w:jc w:val="both"/>
        <w:rPr>
          <w:rFonts w:cs="Arial"/>
          <w:color w:val="984806"/>
          <w:sz w:val="20"/>
          <w:szCs w:val="20"/>
        </w:rPr>
      </w:pPr>
    </w:p>
    <w:p w:rsidR="00B919EC" w:rsidRPr="00B064E6" w:rsidRDefault="00B919EC" w:rsidP="00415790">
      <w:pPr>
        <w:pStyle w:val="Heading2"/>
        <w:rPr>
          <w:color w:val="984806"/>
          <w:szCs w:val="24"/>
        </w:rPr>
      </w:pPr>
      <w:bookmarkStart w:id="6" w:name="_Toc286034090"/>
      <w:bookmarkStart w:id="7" w:name="_Toc286034681"/>
      <w:bookmarkStart w:id="8" w:name="_Toc286041432"/>
      <w:bookmarkStart w:id="9" w:name="_Toc286041501"/>
      <w:bookmarkStart w:id="10" w:name="_Toc286117311"/>
      <w:bookmarkStart w:id="11" w:name="_Toc287342522"/>
      <w:bookmarkStart w:id="12" w:name="_Toc287796993"/>
      <w:bookmarkStart w:id="13" w:name="_Toc3962561"/>
      <w:r w:rsidRPr="00B064E6">
        <w:rPr>
          <w:color w:val="984806"/>
          <w:szCs w:val="24"/>
        </w:rPr>
        <w:t>Mayor’s Report</w:t>
      </w:r>
      <w:bookmarkEnd w:id="6"/>
      <w:bookmarkEnd w:id="7"/>
      <w:bookmarkEnd w:id="8"/>
      <w:bookmarkEnd w:id="9"/>
      <w:bookmarkEnd w:id="10"/>
      <w:bookmarkEnd w:id="11"/>
      <w:bookmarkEnd w:id="12"/>
      <w:bookmarkEnd w:id="13"/>
    </w:p>
    <w:p w:rsidR="008044CB" w:rsidRDefault="008044CB" w:rsidP="00286D7D">
      <w:pPr>
        <w:spacing w:line="276" w:lineRule="auto"/>
        <w:jc w:val="both"/>
        <w:rPr>
          <w:rFonts w:cs="Arial"/>
          <w:sz w:val="20"/>
          <w:szCs w:val="20"/>
          <w:lang w:val="en-ZW"/>
        </w:rPr>
      </w:pPr>
    </w:p>
    <w:p w:rsidR="00C373F4" w:rsidRPr="00ED4446" w:rsidRDefault="00C373F4" w:rsidP="00286D7D">
      <w:pPr>
        <w:spacing w:line="276" w:lineRule="auto"/>
        <w:jc w:val="both"/>
        <w:rPr>
          <w:rFonts w:cs="Arial"/>
          <w:sz w:val="22"/>
          <w:szCs w:val="22"/>
          <w:lang w:val="en-ZW"/>
        </w:rPr>
      </w:pPr>
      <w:r w:rsidRPr="00ED4446">
        <w:rPr>
          <w:rFonts w:cs="Arial"/>
          <w:sz w:val="22"/>
          <w:szCs w:val="22"/>
          <w:lang w:val="en-ZW"/>
        </w:rPr>
        <w:t>To be distributed during the Council meeting.</w:t>
      </w:r>
    </w:p>
    <w:p w:rsidR="00C373F4" w:rsidRPr="00ED4446" w:rsidRDefault="00C373F4" w:rsidP="00286D7D">
      <w:pPr>
        <w:spacing w:line="276" w:lineRule="auto"/>
        <w:jc w:val="both"/>
        <w:rPr>
          <w:rFonts w:cs="Arial"/>
          <w:sz w:val="22"/>
          <w:szCs w:val="22"/>
          <w:lang w:val="en-ZW"/>
        </w:rPr>
      </w:pPr>
    </w:p>
    <w:p w:rsidR="00C373F4" w:rsidRPr="00ED4446" w:rsidRDefault="00C373F4" w:rsidP="00286D7D">
      <w:pPr>
        <w:spacing w:line="276" w:lineRule="auto"/>
        <w:jc w:val="both"/>
        <w:rPr>
          <w:rFonts w:cs="Arial"/>
          <w:sz w:val="22"/>
          <w:szCs w:val="22"/>
          <w:lang w:val="en-ZW"/>
        </w:rPr>
      </w:pPr>
    </w:p>
    <w:p w:rsidR="008044CB" w:rsidRPr="00ED4446" w:rsidRDefault="008044CB" w:rsidP="00286D7D">
      <w:pPr>
        <w:spacing w:line="276" w:lineRule="auto"/>
        <w:jc w:val="both"/>
        <w:rPr>
          <w:rFonts w:cs="Arial"/>
          <w:sz w:val="22"/>
          <w:szCs w:val="22"/>
          <w:lang w:val="en-ZW"/>
        </w:rPr>
      </w:pPr>
    </w:p>
    <w:p w:rsidR="008044CB" w:rsidRPr="00ED4446" w:rsidRDefault="000959E0" w:rsidP="00282C04">
      <w:pPr>
        <w:pStyle w:val="Heading2"/>
        <w:rPr>
          <w:color w:val="984806"/>
          <w:sz w:val="22"/>
          <w:szCs w:val="22"/>
        </w:rPr>
      </w:pPr>
      <w:r w:rsidRPr="00ED4446">
        <w:rPr>
          <w:rFonts w:cs="Arial"/>
          <w:sz w:val="22"/>
          <w:szCs w:val="22"/>
        </w:rPr>
        <w:br w:type="page"/>
      </w:r>
      <w:bookmarkStart w:id="14" w:name="_Toc287796994"/>
      <w:bookmarkStart w:id="15" w:name="_Toc3962562"/>
      <w:r w:rsidR="008044CB" w:rsidRPr="00ED4446">
        <w:rPr>
          <w:color w:val="984806"/>
          <w:sz w:val="22"/>
          <w:szCs w:val="22"/>
        </w:rPr>
        <w:lastRenderedPageBreak/>
        <w:t>Council Resolutions</w:t>
      </w:r>
      <w:bookmarkEnd w:id="14"/>
      <w:bookmarkEnd w:id="15"/>
    </w:p>
    <w:p w:rsidR="008044CB" w:rsidRPr="00ED4446" w:rsidRDefault="008044CB" w:rsidP="006B215D">
      <w:pPr>
        <w:spacing w:line="276" w:lineRule="auto"/>
        <w:rPr>
          <w:rFonts w:cs="Arial"/>
          <w:sz w:val="22"/>
          <w:szCs w:val="22"/>
          <w:lang w:val="en-ZW"/>
        </w:rPr>
      </w:pPr>
    </w:p>
    <w:p w:rsidR="00C373F4" w:rsidRPr="00ED4446" w:rsidRDefault="00C373F4" w:rsidP="00E11629">
      <w:pPr>
        <w:pStyle w:val="Arial"/>
        <w:numPr>
          <w:ilvl w:val="0"/>
          <w:numId w:val="5"/>
        </w:numPr>
        <w:spacing w:line="276" w:lineRule="auto"/>
        <w:ind w:left="567" w:hanging="567"/>
        <w:rPr>
          <w:rFonts w:ascii="Arial" w:hAnsi="Arial" w:cs="Arial"/>
          <w:sz w:val="22"/>
          <w:szCs w:val="22"/>
        </w:rPr>
      </w:pPr>
      <w:r w:rsidRPr="00ED4446">
        <w:rPr>
          <w:rFonts w:ascii="Arial" w:hAnsi="Arial" w:cs="Arial"/>
          <w:sz w:val="22"/>
          <w:szCs w:val="22"/>
        </w:rPr>
        <w:t xml:space="preserve">The Council of </w:t>
      </w:r>
      <w:r w:rsidR="000E77BE" w:rsidRPr="00ED4446">
        <w:rPr>
          <w:rFonts w:ascii="Arial" w:hAnsi="Arial" w:cs="Arial"/>
          <w:sz w:val="22"/>
          <w:szCs w:val="22"/>
        </w:rPr>
        <w:t xml:space="preserve">Joe Gqabi District </w:t>
      </w:r>
      <w:r w:rsidRPr="00ED4446">
        <w:rPr>
          <w:rFonts w:ascii="Arial" w:hAnsi="Arial" w:cs="Arial"/>
          <w:sz w:val="22"/>
          <w:szCs w:val="22"/>
        </w:rPr>
        <w:t>Municipalit</w:t>
      </w:r>
      <w:r w:rsidR="000E77BE" w:rsidRPr="00ED4446">
        <w:rPr>
          <w:rFonts w:ascii="Arial" w:hAnsi="Arial" w:cs="Arial"/>
          <w:sz w:val="22"/>
          <w:szCs w:val="22"/>
        </w:rPr>
        <w:t>y, acting in terms of section 16</w:t>
      </w:r>
      <w:r w:rsidRPr="00ED4446">
        <w:rPr>
          <w:rFonts w:ascii="Arial" w:hAnsi="Arial" w:cs="Arial"/>
          <w:sz w:val="22"/>
          <w:szCs w:val="22"/>
        </w:rPr>
        <w:t xml:space="preserve"> of the </w:t>
      </w:r>
      <w:r w:rsidR="000E17D8" w:rsidRPr="00ED4446">
        <w:rPr>
          <w:rFonts w:ascii="Arial" w:hAnsi="Arial" w:cs="Arial"/>
          <w:sz w:val="22"/>
          <w:szCs w:val="22"/>
        </w:rPr>
        <w:t xml:space="preserve">Local Government: </w:t>
      </w:r>
      <w:r w:rsidRPr="00ED4446">
        <w:rPr>
          <w:rFonts w:ascii="Arial" w:hAnsi="Arial" w:cs="Arial"/>
          <w:sz w:val="22"/>
          <w:szCs w:val="22"/>
        </w:rPr>
        <w:t>Municipal Finance Management Act</w:t>
      </w:r>
      <w:r w:rsidR="000E77BE" w:rsidRPr="00ED4446">
        <w:rPr>
          <w:rFonts w:ascii="Arial" w:hAnsi="Arial" w:cs="Arial"/>
          <w:sz w:val="22"/>
          <w:szCs w:val="22"/>
        </w:rPr>
        <w:t xml:space="preserve"> (MF</w:t>
      </w:r>
      <w:r w:rsidR="000E17D8" w:rsidRPr="00ED4446">
        <w:rPr>
          <w:rFonts w:ascii="Arial" w:hAnsi="Arial" w:cs="Arial"/>
          <w:sz w:val="22"/>
          <w:szCs w:val="22"/>
        </w:rPr>
        <w:t>MA)</w:t>
      </w:r>
      <w:r w:rsidRPr="00ED4446">
        <w:rPr>
          <w:rFonts w:ascii="Arial" w:hAnsi="Arial" w:cs="Arial"/>
          <w:sz w:val="22"/>
          <w:szCs w:val="22"/>
        </w:rPr>
        <w:t>, (Act</w:t>
      </w:r>
      <w:r w:rsidR="000E77BE" w:rsidRPr="00ED4446">
        <w:rPr>
          <w:rFonts w:ascii="Arial" w:hAnsi="Arial" w:cs="Arial"/>
          <w:sz w:val="22"/>
          <w:szCs w:val="22"/>
        </w:rPr>
        <w:t xml:space="preserve"> 56 of 2003) </w:t>
      </w:r>
      <w:r w:rsidR="0094276D" w:rsidRPr="00ED4446">
        <w:rPr>
          <w:rFonts w:ascii="Arial" w:hAnsi="Arial" w:cs="Arial"/>
          <w:sz w:val="22"/>
          <w:szCs w:val="22"/>
        </w:rPr>
        <w:t>tables</w:t>
      </w:r>
      <w:r w:rsidRPr="00ED4446">
        <w:rPr>
          <w:rFonts w:ascii="Arial" w:hAnsi="Arial" w:cs="Arial"/>
          <w:sz w:val="22"/>
          <w:szCs w:val="22"/>
        </w:rPr>
        <w:t>:</w:t>
      </w:r>
    </w:p>
    <w:p w:rsidR="00C373F4" w:rsidRPr="00ED4446" w:rsidRDefault="00C373F4" w:rsidP="00C373F4">
      <w:pPr>
        <w:pStyle w:val="Arial"/>
        <w:spacing w:line="276" w:lineRule="auto"/>
        <w:ind w:left="360"/>
        <w:rPr>
          <w:rFonts w:ascii="Arial" w:hAnsi="Arial" w:cs="Arial"/>
          <w:sz w:val="22"/>
          <w:szCs w:val="22"/>
        </w:rPr>
      </w:pPr>
    </w:p>
    <w:p w:rsidR="00E11629" w:rsidRPr="00ED4446" w:rsidRDefault="00C373F4" w:rsidP="00E11629">
      <w:pPr>
        <w:pStyle w:val="Arial"/>
        <w:numPr>
          <w:ilvl w:val="1"/>
          <w:numId w:val="5"/>
        </w:numPr>
        <w:spacing w:line="276" w:lineRule="auto"/>
        <w:ind w:left="1134" w:hanging="567"/>
        <w:rPr>
          <w:rFonts w:ascii="Arial" w:hAnsi="Arial" w:cs="Arial"/>
          <w:sz w:val="22"/>
          <w:szCs w:val="22"/>
        </w:rPr>
      </w:pPr>
      <w:r w:rsidRPr="00ED4446">
        <w:rPr>
          <w:rFonts w:ascii="Arial" w:hAnsi="Arial" w:cs="Arial"/>
          <w:sz w:val="22"/>
          <w:szCs w:val="22"/>
        </w:rPr>
        <w:t xml:space="preserve">The annual budget of the municipality for the financial year </w:t>
      </w:r>
      <w:r w:rsidR="00224F59">
        <w:rPr>
          <w:rFonts w:ascii="Arial" w:hAnsi="Arial" w:cs="Arial"/>
          <w:sz w:val="22"/>
          <w:szCs w:val="22"/>
        </w:rPr>
        <w:t xml:space="preserve">2020/21 </w:t>
      </w:r>
      <w:r w:rsidR="000E17D8" w:rsidRPr="00ED4446">
        <w:rPr>
          <w:rFonts w:ascii="Arial" w:hAnsi="Arial" w:cs="Arial"/>
          <w:sz w:val="22"/>
          <w:szCs w:val="22"/>
        </w:rPr>
        <w:t>and indicative allocations for th</w:t>
      </w:r>
      <w:r w:rsidR="000E77BE" w:rsidRPr="00ED4446">
        <w:rPr>
          <w:rFonts w:ascii="Arial" w:hAnsi="Arial" w:cs="Arial"/>
          <w:sz w:val="22"/>
          <w:szCs w:val="22"/>
        </w:rPr>
        <w:t xml:space="preserve">e two projected outer years </w:t>
      </w:r>
      <w:r w:rsidR="00224F59">
        <w:rPr>
          <w:rFonts w:ascii="Arial" w:hAnsi="Arial" w:cs="Arial"/>
          <w:sz w:val="22"/>
          <w:szCs w:val="22"/>
        </w:rPr>
        <w:t>2021/22 and 2022/23</w:t>
      </w:r>
      <w:r w:rsidR="000E17D8" w:rsidRPr="00ED4446">
        <w:rPr>
          <w:rFonts w:ascii="Arial" w:hAnsi="Arial" w:cs="Arial"/>
          <w:sz w:val="22"/>
          <w:szCs w:val="22"/>
        </w:rPr>
        <w:t xml:space="preserve">; </w:t>
      </w:r>
      <w:r w:rsidRPr="00ED4446">
        <w:rPr>
          <w:rFonts w:ascii="Arial" w:hAnsi="Arial" w:cs="Arial"/>
          <w:sz w:val="22"/>
          <w:szCs w:val="22"/>
        </w:rPr>
        <w:t>and the multi-year and single-year capital appropriations as set out in the following tables:</w:t>
      </w:r>
    </w:p>
    <w:p w:rsidR="00E11629" w:rsidRPr="00ED4446" w:rsidRDefault="00E11629" w:rsidP="00E11629">
      <w:pPr>
        <w:pStyle w:val="Arial"/>
        <w:spacing w:line="276" w:lineRule="auto"/>
        <w:ind w:left="1134"/>
        <w:rPr>
          <w:rFonts w:ascii="Arial" w:hAnsi="Arial" w:cs="Arial"/>
          <w:sz w:val="22"/>
          <w:szCs w:val="22"/>
        </w:rPr>
      </w:pPr>
    </w:p>
    <w:p w:rsidR="00C373F4" w:rsidRPr="00ED4446" w:rsidRDefault="00C373F4" w:rsidP="00E11629">
      <w:pPr>
        <w:pStyle w:val="Arial"/>
        <w:numPr>
          <w:ilvl w:val="2"/>
          <w:numId w:val="5"/>
        </w:numPr>
        <w:spacing w:line="276" w:lineRule="auto"/>
        <w:ind w:left="1701" w:hanging="567"/>
        <w:rPr>
          <w:rFonts w:ascii="Arial" w:hAnsi="Arial" w:cs="Arial"/>
          <w:sz w:val="22"/>
          <w:szCs w:val="22"/>
        </w:rPr>
      </w:pPr>
      <w:r w:rsidRPr="00ED4446">
        <w:rPr>
          <w:rFonts w:ascii="Arial" w:hAnsi="Arial" w:cs="Arial"/>
          <w:sz w:val="22"/>
          <w:szCs w:val="22"/>
        </w:rPr>
        <w:t xml:space="preserve">Budgeted Financial Performance (revenue and expenditure by standard classification) as contained in Table </w:t>
      </w:r>
      <w:r w:rsidR="002044B0" w:rsidRPr="00ED4446">
        <w:rPr>
          <w:rFonts w:ascii="Arial" w:hAnsi="Arial" w:cs="Arial"/>
          <w:sz w:val="22"/>
          <w:szCs w:val="22"/>
        </w:rPr>
        <w:t>12</w:t>
      </w:r>
      <w:r w:rsidRPr="00ED4446">
        <w:rPr>
          <w:rFonts w:ascii="Arial" w:hAnsi="Arial" w:cs="Arial"/>
          <w:sz w:val="22"/>
          <w:szCs w:val="22"/>
        </w:rPr>
        <w:t>;</w:t>
      </w:r>
    </w:p>
    <w:p w:rsidR="00C373F4" w:rsidRPr="00ED4446" w:rsidRDefault="00C373F4" w:rsidP="00E11629">
      <w:pPr>
        <w:pStyle w:val="Arial"/>
        <w:numPr>
          <w:ilvl w:val="2"/>
          <w:numId w:val="5"/>
        </w:numPr>
        <w:spacing w:line="276" w:lineRule="auto"/>
        <w:ind w:left="1701" w:hanging="567"/>
        <w:rPr>
          <w:rFonts w:ascii="Arial" w:hAnsi="Arial" w:cs="Arial"/>
          <w:sz w:val="22"/>
          <w:szCs w:val="22"/>
        </w:rPr>
      </w:pPr>
      <w:r w:rsidRPr="00ED4446">
        <w:rPr>
          <w:rFonts w:ascii="Arial" w:hAnsi="Arial" w:cs="Arial"/>
          <w:sz w:val="22"/>
          <w:szCs w:val="22"/>
        </w:rPr>
        <w:t>Budgeted Financial Performance (revenue and expenditure by municipal vote) as contained in Table 1</w:t>
      </w:r>
      <w:r w:rsidR="002044B0" w:rsidRPr="00ED4446">
        <w:rPr>
          <w:rFonts w:ascii="Arial" w:hAnsi="Arial" w:cs="Arial"/>
          <w:sz w:val="22"/>
          <w:szCs w:val="22"/>
        </w:rPr>
        <w:t>3</w:t>
      </w:r>
      <w:r w:rsidRPr="00ED4446">
        <w:rPr>
          <w:rFonts w:ascii="Arial" w:hAnsi="Arial" w:cs="Arial"/>
          <w:sz w:val="22"/>
          <w:szCs w:val="22"/>
        </w:rPr>
        <w:t>;</w:t>
      </w:r>
    </w:p>
    <w:p w:rsidR="00C373F4" w:rsidRPr="00ED4446" w:rsidRDefault="00C373F4" w:rsidP="00E11629">
      <w:pPr>
        <w:pStyle w:val="Arial"/>
        <w:numPr>
          <w:ilvl w:val="2"/>
          <w:numId w:val="5"/>
        </w:numPr>
        <w:spacing w:line="276" w:lineRule="auto"/>
        <w:ind w:left="1701" w:hanging="567"/>
        <w:rPr>
          <w:rFonts w:ascii="Arial" w:hAnsi="Arial" w:cs="Arial"/>
          <w:sz w:val="22"/>
          <w:szCs w:val="22"/>
        </w:rPr>
      </w:pPr>
      <w:r w:rsidRPr="00ED4446">
        <w:rPr>
          <w:rFonts w:ascii="Arial" w:hAnsi="Arial" w:cs="Arial"/>
          <w:sz w:val="22"/>
          <w:szCs w:val="22"/>
        </w:rPr>
        <w:t xml:space="preserve">Budgeted Financial Performance (revenue by source and expenditure by type) as contained in Table </w:t>
      </w:r>
      <w:r w:rsidR="002044B0" w:rsidRPr="00ED4446">
        <w:rPr>
          <w:rFonts w:ascii="Arial" w:hAnsi="Arial" w:cs="Arial"/>
          <w:sz w:val="22"/>
          <w:szCs w:val="22"/>
        </w:rPr>
        <w:t>14</w:t>
      </w:r>
      <w:r w:rsidRPr="00ED4446">
        <w:rPr>
          <w:rFonts w:ascii="Arial" w:hAnsi="Arial" w:cs="Arial"/>
          <w:sz w:val="22"/>
          <w:szCs w:val="22"/>
        </w:rPr>
        <w:t>; and</w:t>
      </w:r>
    </w:p>
    <w:p w:rsidR="00C373F4" w:rsidRPr="00ED4446" w:rsidRDefault="00C373F4" w:rsidP="00E11629">
      <w:pPr>
        <w:pStyle w:val="Arial"/>
        <w:numPr>
          <w:ilvl w:val="2"/>
          <w:numId w:val="5"/>
        </w:numPr>
        <w:spacing w:line="276" w:lineRule="auto"/>
        <w:ind w:left="1701" w:hanging="567"/>
        <w:rPr>
          <w:rFonts w:ascii="Arial" w:hAnsi="Arial" w:cs="Arial"/>
          <w:sz w:val="22"/>
          <w:szCs w:val="22"/>
        </w:rPr>
      </w:pPr>
      <w:r w:rsidRPr="00ED4446">
        <w:rPr>
          <w:rFonts w:ascii="Arial" w:hAnsi="Arial" w:cs="Arial"/>
          <w:sz w:val="22"/>
          <w:szCs w:val="22"/>
        </w:rPr>
        <w:t xml:space="preserve">Multi-year and single-year capital appropriations by municipal vote and standard classification and associated funding by source as contained in Table </w:t>
      </w:r>
      <w:r w:rsidR="002044B0" w:rsidRPr="00ED4446">
        <w:rPr>
          <w:rFonts w:ascii="Arial" w:hAnsi="Arial" w:cs="Arial"/>
          <w:sz w:val="22"/>
          <w:szCs w:val="22"/>
        </w:rPr>
        <w:t>15</w:t>
      </w:r>
      <w:r w:rsidRPr="00ED4446">
        <w:rPr>
          <w:rFonts w:ascii="Arial" w:hAnsi="Arial" w:cs="Arial"/>
          <w:sz w:val="22"/>
          <w:szCs w:val="22"/>
        </w:rPr>
        <w:t>.</w:t>
      </w:r>
    </w:p>
    <w:p w:rsidR="00C373F4" w:rsidRPr="00ED4446" w:rsidRDefault="00C373F4" w:rsidP="00C373F4">
      <w:pPr>
        <w:pStyle w:val="Arial"/>
        <w:spacing w:line="276" w:lineRule="auto"/>
        <w:ind w:left="360"/>
        <w:rPr>
          <w:rFonts w:ascii="Arial" w:hAnsi="Arial" w:cs="Arial"/>
          <w:sz w:val="22"/>
          <w:szCs w:val="22"/>
        </w:rPr>
      </w:pPr>
    </w:p>
    <w:p w:rsidR="00C373F4" w:rsidRPr="00ED4446" w:rsidRDefault="00C373F4" w:rsidP="00E11629">
      <w:pPr>
        <w:pStyle w:val="Arial"/>
        <w:numPr>
          <w:ilvl w:val="1"/>
          <w:numId w:val="5"/>
        </w:numPr>
        <w:spacing w:line="276" w:lineRule="auto"/>
        <w:ind w:left="1134" w:hanging="567"/>
        <w:rPr>
          <w:rFonts w:ascii="Arial" w:hAnsi="Arial" w:cs="Arial"/>
          <w:sz w:val="22"/>
          <w:szCs w:val="22"/>
        </w:rPr>
      </w:pPr>
      <w:r w:rsidRPr="00ED4446">
        <w:rPr>
          <w:rFonts w:ascii="Arial" w:hAnsi="Arial" w:cs="Arial"/>
          <w:sz w:val="22"/>
          <w:szCs w:val="22"/>
        </w:rPr>
        <w:t>The financial position, cash flow budget</w:t>
      </w:r>
      <w:r w:rsidR="00476BA5" w:rsidRPr="00ED4446">
        <w:rPr>
          <w:rFonts w:ascii="Arial" w:hAnsi="Arial" w:cs="Arial"/>
          <w:sz w:val="22"/>
          <w:szCs w:val="22"/>
        </w:rPr>
        <w:t xml:space="preserve"> and</w:t>
      </w:r>
      <w:r w:rsidRPr="00ED4446">
        <w:rPr>
          <w:rFonts w:ascii="Arial" w:hAnsi="Arial" w:cs="Arial"/>
          <w:sz w:val="22"/>
          <w:szCs w:val="22"/>
        </w:rPr>
        <w:t xml:space="preserve"> cash-backed r</w:t>
      </w:r>
      <w:r w:rsidR="0094276D" w:rsidRPr="00ED4446">
        <w:rPr>
          <w:rFonts w:ascii="Arial" w:hAnsi="Arial" w:cs="Arial"/>
          <w:sz w:val="22"/>
          <w:szCs w:val="22"/>
        </w:rPr>
        <w:t>eserve/accumulated surplus are tabled</w:t>
      </w:r>
      <w:r w:rsidRPr="00ED4446">
        <w:rPr>
          <w:rFonts w:ascii="Arial" w:hAnsi="Arial" w:cs="Arial"/>
          <w:sz w:val="22"/>
          <w:szCs w:val="22"/>
        </w:rPr>
        <w:t xml:space="preserve"> as set out in the following tables:</w:t>
      </w:r>
    </w:p>
    <w:p w:rsidR="00E11629" w:rsidRPr="00ED4446" w:rsidRDefault="00E11629" w:rsidP="00E11629">
      <w:pPr>
        <w:pStyle w:val="Arial"/>
        <w:spacing w:line="276" w:lineRule="auto"/>
        <w:ind w:left="1134"/>
        <w:rPr>
          <w:rFonts w:ascii="Arial" w:hAnsi="Arial" w:cs="Arial"/>
          <w:sz w:val="22"/>
          <w:szCs w:val="22"/>
        </w:rPr>
      </w:pPr>
    </w:p>
    <w:p w:rsidR="00C373F4" w:rsidRPr="00ED4446" w:rsidRDefault="00C373F4" w:rsidP="00E11629">
      <w:pPr>
        <w:pStyle w:val="Arial"/>
        <w:numPr>
          <w:ilvl w:val="2"/>
          <w:numId w:val="5"/>
        </w:numPr>
        <w:spacing w:line="276" w:lineRule="auto"/>
        <w:ind w:left="1701" w:hanging="567"/>
        <w:rPr>
          <w:rFonts w:ascii="Arial" w:hAnsi="Arial" w:cs="Arial"/>
          <w:sz w:val="22"/>
          <w:szCs w:val="22"/>
        </w:rPr>
      </w:pPr>
      <w:r w:rsidRPr="00ED4446">
        <w:rPr>
          <w:rFonts w:ascii="Arial" w:hAnsi="Arial" w:cs="Arial"/>
          <w:sz w:val="22"/>
          <w:szCs w:val="22"/>
        </w:rPr>
        <w:t xml:space="preserve">Budgeted Financial Position as contained in Table </w:t>
      </w:r>
      <w:r w:rsidR="00476BA5" w:rsidRPr="00ED4446">
        <w:rPr>
          <w:rFonts w:ascii="Arial" w:hAnsi="Arial" w:cs="Arial"/>
          <w:sz w:val="22"/>
          <w:szCs w:val="22"/>
        </w:rPr>
        <w:t>1</w:t>
      </w:r>
      <w:r w:rsidR="002044B0" w:rsidRPr="00ED4446">
        <w:rPr>
          <w:rFonts w:ascii="Arial" w:hAnsi="Arial" w:cs="Arial"/>
          <w:sz w:val="22"/>
          <w:szCs w:val="22"/>
        </w:rPr>
        <w:t>6</w:t>
      </w:r>
      <w:r w:rsidRPr="00ED4446">
        <w:rPr>
          <w:rFonts w:ascii="Arial" w:hAnsi="Arial" w:cs="Arial"/>
          <w:sz w:val="22"/>
          <w:szCs w:val="22"/>
        </w:rPr>
        <w:t>;</w:t>
      </w:r>
    </w:p>
    <w:p w:rsidR="00E11629" w:rsidRPr="00ED4446" w:rsidRDefault="00C373F4" w:rsidP="00E11629">
      <w:pPr>
        <w:pStyle w:val="Arial"/>
        <w:numPr>
          <w:ilvl w:val="2"/>
          <w:numId w:val="5"/>
        </w:numPr>
        <w:spacing w:line="276" w:lineRule="auto"/>
        <w:ind w:left="1701" w:hanging="567"/>
        <w:rPr>
          <w:rFonts w:ascii="Arial" w:hAnsi="Arial" w:cs="Arial"/>
          <w:sz w:val="22"/>
          <w:szCs w:val="22"/>
        </w:rPr>
      </w:pPr>
      <w:r w:rsidRPr="00ED4446">
        <w:rPr>
          <w:rFonts w:ascii="Arial" w:hAnsi="Arial" w:cs="Arial"/>
          <w:sz w:val="22"/>
          <w:szCs w:val="22"/>
        </w:rPr>
        <w:t xml:space="preserve">Budgeted Cash Flows as contained in Table </w:t>
      </w:r>
      <w:r w:rsidR="002044B0" w:rsidRPr="00ED4446">
        <w:rPr>
          <w:rFonts w:ascii="Arial" w:hAnsi="Arial" w:cs="Arial"/>
          <w:sz w:val="22"/>
          <w:szCs w:val="22"/>
        </w:rPr>
        <w:t>17</w:t>
      </w:r>
      <w:r w:rsidRPr="00ED4446">
        <w:rPr>
          <w:rFonts w:ascii="Arial" w:hAnsi="Arial" w:cs="Arial"/>
          <w:sz w:val="22"/>
          <w:szCs w:val="22"/>
        </w:rPr>
        <w:t>;</w:t>
      </w:r>
      <w:r w:rsidR="007B0C11" w:rsidRPr="00ED4446">
        <w:rPr>
          <w:rFonts w:ascii="Arial" w:hAnsi="Arial" w:cs="Arial"/>
          <w:sz w:val="22"/>
          <w:szCs w:val="22"/>
        </w:rPr>
        <w:t>and</w:t>
      </w:r>
    </w:p>
    <w:p w:rsidR="00C373F4" w:rsidRPr="00ED4446" w:rsidRDefault="00C373F4" w:rsidP="00E11629">
      <w:pPr>
        <w:pStyle w:val="Arial"/>
        <w:numPr>
          <w:ilvl w:val="2"/>
          <w:numId w:val="5"/>
        </w:numPr>
        <w:spacing w:line="276" w:lineRule="auto"/>
        <w:ind w:left="1701" w:hanging="567"/>
        <w:rPr>
          <w:rFonts w:ascii="Arial" w:hAnsi="Arial" w:cs="Arial"/>
          <w:sz w:val="22"/>
          <w:szCs w:val="22"/>
        </w:rPr>
      </w:pPr>
      <w:r w:rsidRPr="00ED4446">
        <w:rPr>
          <w:rFonts w:ascii="Arial" w:hAnsi="Arial" w:cs="Arial"/>
          <w:sz w:val="22"/>
          <w:szCs w:val="22"/>
        </w:rPr>
        <w:t>Cash backed reserves and accumulated surplus reconciliation as contained in Table 2</w:t>
      </w:r>
      <w:r w:rsidR="002044B0" w:rsidRPr="00ED4446">
        <w:rPr>
          <w:rFonts w:ascii="Arial" w:hAnsi="Arial" w:cs="Arial"/>
          <w:sz w:val="22"/>
          <w:szCs w:val="22"/>
        </w:rPr>
        <w:t>3</w:t>
      </w:r>
      <w:r w:rsidRPr="00ED4446">
        <w:rPr>
          <w:rFonts w:ascii="Arial" w:hAnsi="Arial" w:cs="Arial"/>
          <w:sz w:val="22"/>
          <w:szCs w:val="22"/>
        </w:rPr>
        <w:t>;</w:t>
      </w:r>
    </w:p>
    <w:p w:rsidR="00C373F4" w:rsidRPr="00ED4446" w:rsidRDefault="00C373F4" w:rsidP="00C373F4">
      <w:pPr>
        <w:pStyle w:val="Arial"/>
        <w:spacing w:line="276" w:lineRule="auto"/>
        <w:ind w:left="360"/>
        <w:rPr>
          <w:rFonts w:ascii="Arial" w:hAnsi="Arial" w:cs="Arial"/>
          <w:sz w:val="22"/>
          <w:szCs w:val="22"/>
        </w:rPr>
      </w:pPr>
    </w:p>
    <w:p w:rsidR="00286D7D" w:rsidRPr="00ED4446" w:rsidRDefault="00286D7D" w:rsidP="00E11629">
      <w:pPr>
        <w:pStyle w:val="Arial"/>
        <w:numPr>
          <w:ilvl w:val="0"/>
          <w:numId w:val="5"/>
        </w:numPr>
        <w:spacing w:line="276" w:lineRule="auto"/>
        <w:ind w:left="567" w:hanging="567"/>
        <w:rPr>
          <w:rFonts w:ascii="Arial" w:hAnsi="Arial" w:cs="Arial"/>
          <w:sz w:val="22"/>
          <w:szCs w:val="22"/>
        </w:rPr>
      </w:pPr>
      <w:r w:rsidRPr="00ED4446">
        <w:rPr>
          <w:rFonts w:ascii="Arial" w:hAnsi="Arial" w:cs="Arial"/>
          <w:sz w:val="22"/>
          <w:szCs w:val="22"/>
        </w:rPr>
        <w:t xml:space="preserve">The revised Integrated Development Plan (IDP) </w:t>
      </w:r>
      <w:r w:rsidR="00BB7929" w:rsidRPr="00ED4446">
        <w:rPr>
          <w:rFonts w:ascii="Arial" w:hAnsi="Arial" w:cs="Arial"/>
          <w:sz w:val="22"/>
          <w:szCs w:val="22"/>
        </w:rPr>
        <w:t>is</w:t>
      </w:r>
      <w:r w:rsidR="008F6D94">
        <w:rPr>
          <w:rFonts w:ascii="Arial" w:hAnsi="Arial" w:cs="Arial"/>
          <w:sz w:val="22"/>
          <w:szCs w:val="22"/>
        </w:rPr>
        <w:t xml:space="preserve"> </w:t>
      </w:r>
      <w:r w:rsidR="0094276D" w:rsidRPr="00ED4446">
        <w:rPr>
          <w:rFonts w:ascii="Arial" w:hAnsi="Arial" w:cs="Arial"/>
          <w:sz w:val="22"/>
          <w:szCs w:val="22"/>
        </w:rPr>
        <w:t>tabled</w:t>
      </w:r>
      <w:r w:rsidRPr="00ED4446">
        <w:rPr>
          <w:rFonts w:ascii="Arial" w:hAnsi="Arial" w:cs="Arial"/>
          <w:sz w:val="22"/>
          <w:szCs w:val="22"/>
        </w:rPr>
        <w:t xml:space="preserve"> as reflected in the agenda. </w:t>
      </w:r>
    </w:p>
    <w:p w:rsidR="00B064E6" w:rsidRPr="00ED4446" w:rsidRDefault="00B064E6" w:rsidP="00E11629">
      <w:pPr>
        <w:pStyle w:val="Arial"/>
        <w:spacing w:line="276" w:lineRule="auto"/>
        <w:ind w:left="567" w:hanging="567"/>
        <w:rPr>
          <w:rFonts w:ascii="Arial" w:hAnsi="Arial" w:cs="Arial"/>
          <w:sz w:val="22"/>
          <w:szCs w:val="22"/>
        </w:rPr>
      </w:pPr>
    </w:p>
    <w:p w:rsidR="00B064E6" w:rsidRPr="00ED4446" w:rsidRDefault="00B064E6" w:rsidP="00E11629">
      <w:pPr>
        <w:pStyle w:val="Arial"/>
        <w:numPr>
          <w:ilvl w:val="0"/>
          <w:numId w:val="5"/>
        </w:numPr>
        <w:spacing w:line="276" w:lineRule="auto"/>
        <w:ind w:left="567" w:hanging="567"/>
        <w:rPr>
          <w:rFonts w:ascii="Arial" w:hAnsi="Arial" w:cs="Arial"/>
          <w:sz w:val="22"/>
          <w:szCs w:val="22"/>
        </w:rPr>
      </w:pPr>
      <w:r w:rsidRPr="00ED4446">
        <w:rPr>
          <w:rFonts w:ascii="Arial" w:hAnsi="Arial" w:cs="Arial"/>
          <w:sz w:val="22"/>
          <w:szCs w:val="22"/>
        </w:rPr>
        <w:t xml:space="preserve">The Council of Joe Gqabi District Municipality, acting in terms of section 24(2)(c)(i) and (ii) of the MFMA, sections 74 and 75A of the Local Government: Municipal Systems Act (Act 32 of 2000) </w:t>
      </w:r>
      <w:r w:rsidR="0094276D" w:rsidRPr="00ED4446">
        <w:rPr>
          <w:rFonts w:ascii="Arial" w:hAnsi="Arial" w:cs="Arial"/>
          <w:sz w:val="22"/>
          <w:szCs w:val="22"/>
        </w:rPr>
        <w:t>tables</w:t>
      </w:r>
      <w:r w:rsidRPr="00ED4446">
        <w:rPr>
          <w:rFonts w:ascii="Arial" w:hAnsi="Arial" w:cs="Arial"/>
          <w:sz w:val="22"/>
          <w:szCs w:val="22"/>
        </w:rPr>
        <w:t xml:space="preserve"> the tariffs for the </w:t>
      </w:r>
      <w:r w:rsidR="00CD3FDE" w:rsidRPr="00ED4446">
        <w:rPr>
          <w:rFonts w:ascii="Arial" w:hAnsi="Arial" w:cs="Arial"/>
          <w:sz w:val="22"/>
          <w:szCs w:val="22"/>
        </w:rPr>
        <w:t>provision</w:t>
      </w:r>
      <w:r w:rsidRPr="00ED4446">
        <w:rPr>
          <w:rFonts w:ascii="Arial" w:hAnsi="Arial" w:cs="Arial"/>
          <w:sz w:val="22"/>
          <w:szCs w:val="22"/>
        </w:rPr>
        <w:t xml:space="preserve"> of </w:t>
      </w:r>
      <w:r w:rsidR="00CD3FDE" w:rsidRPr="00ED4446">
        <w:rPr>
          <w:rFonts w:ascii="Arial" w:hAnsi="Arial" w:cs="Arial"/>
          <w:sz w:val="22"/>
          <w:szCs w:val="22"/>
        </w:rPr>
        <w:t>water and sanitation.</w:t>
      </w:r>
    </w:p>
    <w:p w:rsidR="00286D7D" w:rsidRPr="00ED4446" w:rsidRDefault="00286D7D" w:rsidP="00E11629">
      <w:pPr>
        <w:pStyle w:val="Arial"/>
        <w:spacing w:line="276" w:lineRule="auto"/>
        <w:ind w:left="567" w:hanging="567"/>
        <w:rPr>
          <w:rFonts w:ascii="Arial" w:hAnsi="Arial" w:cs="Arial"/>
          <w:sz w:val="22"/>
          <w:szCs w:val="22"/>
        </w:rPr>
      </w:pPr>
    </w:p>
    <w:p w:rsidR="00286D7D" w:rsidRPr="00ED4446" w:rsidRDefault="00F33F81" w:rsidP="00E11629">
      <w:pPr>
        <w:pStyle w:val="Arial"/>
        <w:numPr>
          <w:ilvl w:val="0"/>
          <w:numId w:val="5"/>
        </w:numPr>
        <w:spacing w:line="276" w:lineRule="auto"/>
        <w:ind w:left="567" w:hanging="567"/>
        <w:rPr>
          <w:rFonts w:ascii="Arial" w:hAnsi="Arial" w:cs="Arial"/>
          <w:sz w:val="22"/>
          <w:szCs w:val="22"/>
        </w:rPr>
      </w:pPr>
      <w:r w:rsidRPr="00ED4446">
        <w:rPr>
          <w:rFonts w:ascii="Arial" w:hAnsi="Arial" w:cs="Arial"/>
          <w:sz w:val="22"/>
          <w:szCs w:val="22"/>
        </w:rPr>
        <w:t>T</w:t>
      </w:r>
      <w:r w:rsidR="00286D7D" w:rsidRPr="00ED4446">
        <w:rPr>
          <w:rFonts w:ascii="Arial" w:hAnsi="Arial" w:cs="Arial"/>
          <w:sz w:val="22"/>
          <w:szCs w:val="22"/>
        </w:rPr>
        <w:t>he measurable performance objectives for capital and operating expenditure by vote for each year of the medium term revenue and expenditure framework as set out in Supporting Table SA7</w:t>
      </w:r>
      <w:r w:rsidR="00E95F29">
        <w:rPr>
          <w:rFonts w:ascii="Arial" w:hAnsi="Arial" w:cs="Arial"/>
          <w:sz w:val="22"/>
          <w:szCs w:val="22"/>
        </w:rPr>
        <w:t xml:space="preserve"> </w:t>
      </w:r>
      <w:r w:rsidR="00286D7D" w:rsidRPr="00ED4446">
        <w:rPr>
          <w:rFonts w:ascii="Arial" w:hAnsi="Arial" w:cs="Arial"/>
          <w:sz w:val="22"/>
          <w:szCs w:val="22"/>
        </w:rPr>
        <w:t>be noted.</w:t>
      </w:r>
    </w:p>
    <w:p w:rsidR="00286D7D" w:rsidRPr="00ED4446" w:rsidRDefault="00286D7D" w:rsidP="00E11629">
      <w:pPr>
        <w:pStyle w:val="Arial"/>
        <w:spacing w:line="276" w:lineRule="auto"/>
        <w:ind w:left="567" w:hanging="567"/>
        <w:rPr>
          <w:rFonts w:ascii="Arial" w:hAnsi="Arial" w:cs="Arial"/>
          <w:sz w:val="22"/>
          <w:szCs w:val="22"/>
        </w:rPr>
      </w:pPr>
    </w:p>
    <w:p w:rsidR="00286D7D" w:rsidRPr="00ED4446" w:rsidRDefault="00F33F81" w:rsidP="00E11629">
      <w:pPr>
        <w:pStyle w:val="Arial"/>
        <w:numPr>
          <w:ilvl w:val="0"/>
          <w:numId w:val="5"/>
        </w:numPr>
        <w:spacing w:line="276" w:lineRule="auto"/>
        <w:ind w:left="567" w:hanging="567"/>
        <w:rPr>
          <w:rFonts w:ascii="Arial" w:hAnsi="Arial" w:cs="Arial"/>
          <w:sz w:val="22"/>
          <w:szCs w:val="22"/>
        </w:rPr>
      </w:pPr>
      <w:r w:rsidRPr="00ED4446">
        <w:rPr>
          <w:rFonts w:ascii="Arial" w:hAnsi="Arial" w:cs="Arial"/>
          <w:sz w:val="22"/>
          <w:szCs w:val="22"/>
        </w:rPr>
        <w:t>T</w:t>
      </w:r>
      <w:r w:rsidR="00286D7D" w:rsidRPr="00ED4446">
        <w:rPr>
          <w:rFonts w:ascii="Arial" w:hAnsi="Arial" w:cs="Arial"/>
          <w:sz w:val="22"/>
          <w:szCs w:val="22"/>
        </w:rPr>
        <w:t xml:space="preserve">he Budget related policies including any amendments are </w:t>
      </w:r>
      <w:r w:rsidR="0094276D" w:rsidRPr="00ED4446">
        <w:rPr>
          <w:rFonts w:ascii="Arial" w:hAnsi="Arial" w:cs="Arial"/>
          <w:sz w:val="22"/>
          <w:szCs w:val="22"/>
        </w:rPr>
        <w:t>tabled f</w:t>
      </w:r>
      <w:r w:rsidR="00224F59">
        <w:rPr>
          <w:rFonts w:ascii="Arial" w:hAnsi="Arial" w:cs="Arial"/>
          <w:sz w:val="22"/>
          <w:szCs w:val="22"/>
        </w:rPr>
        <w:t>or the budget year 2020</w:t>
      </w:r>
      <w:r w:rsidR="007F3A79" w:rsidRPr="00ED4446">
        <w:rPr>
          <w:rFonts w:ascii="Arial" w:hAnsi="Arial" w:cs="Arial"/>
          <w:sz w:val="22"/>
          <w:szCs w:val="22"/>
        </w:rPr>
        <w:t>/</w:t>
      </w:r>
      <w:r w:rsidR="00224F59">
        <w:rPr>
          <w:rFonts w:ascii="Arial" w:hAnsi="Arial" w:cs="Arial"/>
          <w:sz w:val="22"/>
          <w:szCs w:val="22"/>
        </w:rPr>
        <w:t>21</w:t>
      </w:r>
      <w:r w:rsidR="00646669" w:rsidRPr="00ED4446">
        <w:rPr>
          <w:rFonts w:ascii="Arial" w:hAnsi="Arial" w:cs="Arial"/>
          <w:sz w:val="22"/>
          <w:szCs w:val="22"/>
        </w:rPr>
        <w:t>.</w:t>
      </w:r>
    </w:p>
    <w:p w:rsidR="00286D7D" w:rsidRPr="00ED4446" w:rsidRDefault="00286D7D" w:rsidP="00E11629">
      <w:pPr>
        <w:pStyle w:val="Arial"/>
        <w:spacing w:line="276" w:lineRule="auto"/>
        <w:ind w:left="567" w:hanging="567"/>
        <w:rPr>
          <w:rFonts w:ascii="Arial" w:hAnsi="Arial" w:cs="Arial"/>
          <w:sz w:val="22"/>
          <w:szCs w:val="22"/>
        </w:rPr>
      </w:pPr>
    </w:p>
    <w:p w:rsidR="00F537B7" w:rsidRPr="00ED4446" w:rsidRDefault="00F537B7" w:rsidP="00F537B7">
      <w:pPr>
        <w:pStyle w:val="Arial"/>
        <w:spacing w:line="276" w:lineRule="auto"/>
        <w:ind w:left="567"/>
        <w:rPr>
          <w:rFonts w:ascii="Arial" w:hAnsi="Arial" w:cs="Arial"/>
          <w:sz w:val="22"/>
          <w:szCs w:val="22"/>
        </w:rPr>
      </w:pPr>
      <w:bookmarkStart w:id="16" w:name="_Toc287796995"/>
    </w:p>
    <w:p w:rsidR="00F537B7" w:rsidRPr="00ED4446" w:rsidRDefault="00F537B7" w:rsidP="00F537B7">
      <w:pPr>
        <w:pStyle w:val="Arial"/>
        <w:numPr>
          <w:ilvl w:val="0"/>
          <w:numId w:val="5"/>
        </w:numPr>
        <w:spacing w:line="276" w:lineRule="auto"/>
        <w:ind w:left="567" w:hanging="567"/>
        <w:rPr>
          <w:rFonts w:ascii="Arial" w:hAnsi="Arial" w:cs="Arial"/>
          <w:sz w:val="22"/>
          <w:szCs w:val="22"/>
        </w:rPr>
      </w:pPr>
      <w:r w:rsidRPr="00ED4446">
        <w:rPr>
          <w:rFonts w:ascii="Arial" w:hAnsi="Arial" w:cs="Arial"/>
          <w:sz w:val="22"/>
          <w:szCs w:val="22"/>
        </w:rPr>
        <w:br w:type="page"/>
      </w:r>
    </w:p>
    <w:p w:rsidR="008044CB" w:rsidRPr="00ED4446" w:rsidRDefault="008044CB" w:rsidP="00646669">
      <w:pPr>
        <w:pStyle w:val="Heading2"/>
        <w:ind w:left="567" w:hanging="567"/>
        <w:rPr>
          <w:color w:val="984806"/>
          <w:sz w:val="22"/>
          <w:szCs w:val="22"/>
        </w:rPr>
      </w:pPr>
      <w:bookmarkStart w:id="17" w:name="_Toc3962563"/>
      <w:r w:rsidRPr="00ED4446">
        <w:rPr>
          <w:color w:val="984806"/>
          <w:sz w:val="22"/>
          <w:szCs w:val="22"/>
        </w:rPr>
        <w:lastRenderedPageBreak/>
        <w:t>Executive Summary</w:t>
      </w:r>
      <w:bookmarkEnd w:id="16"/>
      <w:bookmarkEnd w:id="17"/>
    </w:p>
    <w:p w:rsidR="008044CB" w:rsidRPr="00ED4446" w:rsidRDefault="008044CB" w:rsidP="00286D7D">
      <w:pPr>
        <w:spacing w:line="276" w:lineRule="auto"/>
        <w:jc w:val="both"/>
        <w:rPr>
          <w:rFonts w:cs="Arial"/>
          <w:sz w:val="22"/>
          <w:szCs w:val="22"/>
          <w:lang w:val="en-ZW"/>
        </w:rPr>
      </w:pPr>
    </w:p>
    <w:p w:rsidR="00AF3A59" w:rsidRPr="00ED4446" w:rsidRDefault="00963756" w:rsidP="00286D7D">
      <w:pPr>
        <w:spacing w:line="276" w:lineRule="auto"/>
        <w:jc w:val="both"/>
        <w:rPr>
          <w:rFonts w:cs="Arial"/>
          <w:sz w:val="22"/>
          <w:szCs w:val="22"/>
          <w:lang w:val="en-ZW"/>
        </w:rPr>
      </w:pPr>
      <w:r w:rsidRPr="00ED4446">
        <w:rPr>
          <w:rFonts w:cs="Arial"/>
          <w:sz w:val="22"/>
          <w:szCs w:val="22"/>
          <w:lang w:val="en-ZW"/>
        </w:rPr>
        <w:t xml:space="preserve">This </w:t>
      </w:r>
      <w:r w:rsidR="0031244B" w:rsidRPr="00ED4446">
        <w:rPr>
          <w:rFonts w:cs="Arial"/>
          <w:sz w:val="22"/>
          <w:szCs w:val="22"/>
          <w:lang w:val="en-ZW"/>
        </w:rPr>
        <w:t xml:space="preserve">section </w:t>
      </w:r>
      <w:r w:rsidR="00834792" w:rsidRPr="00ED4446">
        <w:rPr>
          <w:rFonts w:cs="Arial"/>
          <w:sz w:val="22"/>
          <w:szCs w:val="22"/>
          <w:lang w:val="en-ZW"/>
        </w:rPr>
        <w:t xml:space="preserve">contains an </w:t>
      </w:r>
      <w:r w:rsidR="00286D7D" w:rsidRPr="00ED4446">
        <w:rPr>
          <w:rFonts w:cs="Arial"/>
          <w:sz w:val="22"/>
          <w:szCs w:val="22"/>
          <w:lang w:val="en-ZW"/>
        </w:rPr>
        <w:t xml:space="preserve">Executive Summary of the </w:t>
      </w:r>
      <w:r w:rsidR="00F33F81" w:rsidRPr="00ED4446">
        <w:rPr>
          <w:rFonts w:cs="Arial"/>
          <w:sz w:val="22"/>
          <w:szCs w:val="22"/>
          <w:lang w:val="en-ZW"/>
        </w:rPr>
        <w:t>Joe Gqabi District</w:t>
      </w:r>
      <w:r w:rsidR="00CC2146">
        <w:rPr>
          <w:rFonts w:cs="Arial"/>
          <w:sz w:val="22"/>
          <w:szCs w:val="22"/>
          <w:lang w:val="en-ZW"/>
        </w:rPr>
        <w:t xml:space="preserve"> </w:t>
      </w:r>
      <w:r w:rsidR="00AF3A59" w:rsidRPr="00ED4446">
        <w:rPr>
          <w:rFonts w:cs="Arial"/>
          <w:sz w:val="22"/>
          <w:szCs w:val="22"/>
          <w:lang w:val="en-ZW"/>
        </w:rPr>
        <w:t>Municipality’s</w:t>
      </w:r>
      <w:r w:rsidR="00F33F81" w:rsidRPr="00ED4446">
        <w:rPr>
          <w:rFonts w:cs="Arial"/>
          <w:sz w:val="22"/>
          <w:szCs w:val="22"/>
          <w:lang w:val="en-ZW"/>
        </w:rPr>
        <w:t xml:space="preserve"> (JGDM)</w:t>
      </w:r>
      <w:r w:rsidR="00AF3A59" w:rsidRPr="00ED4446">
        <w:rPr>
          <w:rFonts w:cs="Arial"/>
          <w:sz w:val="22"/>
          <w:szCs w:val="22"/>
          <w:lang w:val="en-ZW"/>
        </w:rPr>
        <w:t xml:space="preserve"> Budget followed by a more detailed explanation of its Operating and Capital components over the next three years.</w:t>
      </w:r>
    </w:p>
    <w:p w:rsidR="00221FA0" w:rsidRPr="00ED4446" w:rsidRDefault="00221FA0" w:rsidP="00221FA0">
      <w:pPr>
        <w:spacing w:line="276" w:lineRule="auto"/>
        <w:jc w:val="both"/>
        <w:rPr>
          <w:rFonts w:cs="Arial"/>
          <w:sz w:val="22"/>
          <w:szCs w:val="22"/>
        </w:rPr>
      </w:pPr>
    </w:p>
    <w:p w:rsidR="00221FA0" w:rsidRPr="00ED4446" w:rsidRDefault="00221FA0" w:rsidP="00221FA0">
      <w:pPr>
        <w:spacing w:line="276" w:lineRule="auto"/>
        <w:jc w:val="both"/>
        <w:rPr>
          <w:rFonts w:cs="Arial"/>
          <w:sz w:val="22"/>
          <w:szCs w:val="22"/>
        </w:rPr>
      </w:pPr>
      <w:r w:rsidRPr="00ED4446">
        <w:rPr>
          <w:rFonts w:cs="Arial"/>
          <w:sz w:val="22"/>
          <w:szCs w:val="22"/>
        </w:rPr>
        <w:t xml:space="preserve">The application of sound financial management principles for the compilation of the </w:t>
      </w:r>
      <w:r w:rsidR="008044FC" w:rsidRPr="00ED4446">
        <w:rPr>
          <w:rFonts w:cs="Arial"/>
          <w:sz w:val="22"/>
          <w:szCs w:val="22"/>
        </w:rPr>
        <w:t>Municipality’s</w:t>
      </w:r>
      <w:r w:rsidRPr="00ED4446">
        <w:rPr>
          <w:rFonts w:cs="Arial"/>
          <w:sz w:val="22"/>
          <w:szCs w:val="22"/>
        </w:rPr>
        <w:t xml:space="preserve"> financial plan is essential and critical to ensure that the </w:t>
      </w:r>
      <w:r w:rsidR="008044FC" w:rsidRPr="00ED4446">
        <w:rPr>
          <w:rFonts w:cs="Arial"/>
          <w:sz w:val="22"/>
          <w:szCs w:val="22"/>
        </w:rPr>
        <w:t>Municipality</w:t>
      </w:r>
      <w:r w:rsidRPr="00ED4446">
        <w:rPr>
          <w:rFonts w:cs="Arial"/>
          <w:sz w:val="22"/>
          <w:szCs w:val="22"/>
        </w:rPr>
        <w:t xml:space="preserve"> remains financially viable and that municipal services are provided sustainably, economically and equitably to all communities.</w:t>
      </w:r>
    </w:p>
    <w:p w:rsidR="00221FA0" w:rsidRPr="00ED4446" w:rsidRDefault="00221FA0" w:rsidP="00221FA0">
      <w:pPr>
        <w:autoSpaceDE w:val="0"/>
        <w:autoSpaceDN w:val="0"/>
        <w:adjustRightInd w:val="0"/>
        <w:spacing w:line="276" w:lineRule="auto"/>
        <w:jc w:val="both"/>
        <w:rPr>
          <w:rFonts w:cs="Arial"/>
          <w:sz w:val="22"/>
          <w:szCs w:val="22"/>
        </w:rPr>
      </w:pPr>
    </w:p>
    <w:p w:rsidR="004C5FBA" w:rsidRPr="00ED4446" w:rsidRDefault="004C5FBA" w:rsidP="004C5FB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22"/>
          <w:szCs w:val="22"/>
        </w:rPr>
      </w:pPr>
      <w:r w:rsidRPr="00ED4446">
        <w:rPr>
          <w:rFonts w:cs="Arial"/>
          <w:sz w:val="22"/>
          <w:szCs w:val="22"/>
        </w:rPr>
        <w:t xml:space="preserve">National Treasury’s MFMA </w:t>
      </w:r>
      <w:r w:rsidR="00E95F29">
        <w:rPr>
          <w:rFonts w:cs="Arial"/>
          <w:sz w:val="22"/>
          <w:szCs w:val="22"/>
        </w:rPr>
        <w:t>Circular No.</w:t>
      </w:r>
      <w:r w:rsidR="00CC2146">
        <w:rPr>
          <w:rFonts w:cs="Arial"/>
          <w:sz w:val="22"/>
          <w:szCs w:val="22"/>
        </w:rPr>
        <w:t xml:space="preserve"> </w:t>
      </w:r>
      <w:r w:rsidR="00E95F29">
        <w:rPr>
          <w:rFonts w:cs="Arial"/>
          <w:sz w:val="22"/>
          <w:szCs w:val="22"/>
        </w:rPr>
        <w:t>89,</w:t>
      </w:r>
      <w:r w:rsidR="00710856" w:rsidRPr="00ED4446">
        <w:rPr>
          <w:rFonts w:cs="Arial"/>
          <w:sz w:val="22"/>
          <w:szCs w:val="22"/>
        </w:rPr>
        <w:t xml:space="preserve"> 91</w:t>
      </w:r>
      <w:r w:rsidR="00CC2146">
        <w:rPr>
          <w:rFonts w:cs="Arial"/>
          <w:sz w:val="22"/>
          <w:szCs w:val="22"/>
        </w:rPr>
        <w:t xml:space="preserve">, </w:t>
      </w:r>
      <w:r w:rsidR="00E95F29">
        <w:rPr>
          <w:rFonts w:cs="Arial"/>
          <w:sz w:val="22"/>
          <w:szCs w:val="22"/>
        </w:rPr>
        <w:t>94</w:t>
      </w:r>
      <w:r w:rsidR="00CC2146">
        <w:rPr>
          <w:rFonts w:cs="Arial"/>
          <w:sz w:val="22"/>
          <w:szCs w:val="22"/>
        </w:rPr>
        <w:t>, 98 and 99</w:t>
      </w:r>
      <w:r w:rsidRPr="00ED4446">
        <w:rPr>
          <w:rFonts w:cs="Arial"/>
          <w:sz w:val="22"/>
          <w:szCs w:val="22"/>
        </w:rPr>
        <w:t xml:space="preserve"> was used to g</w:t>
      </w:r>
      <w:r w:rsidR="009E498A" w:rsidRPr="00ED4446">
        <w:rPr>
          <w:rFonts w:cs="Arial"/>
          <w:sz w:val="22"/>
          <w:szCs w:val="22"/>
        </w:rPr>
        <w:t>uid</w:t>
      </w:r>
      <w:r w:rsidR="00CC2146">
        <w:rPr>
          <w:rFonts w:cs="Arial"/>
          <w:sz w:val="22"/>
          <w:szCs w:val="22"/>
        </w:rPr>
        <w:t>e the compilation of the 2020/21</w:t>
      </w:r>
      <w:r w:rsidR="00E95F29">
        <w:rPr>
          <w:rFonts w:cs="Arial"/>
          <w:sz w:val="22"/>
          <w:szCs w:val="22"/>
        </w:rPr>
        <w:t xml:space="preserve"> </w:t>
      </w:r>
      <w:r w:rsidRPr="00ED4446">
        <w:rPr>
          <w:rFonts w:cs="Arial"/>
          <w:sz w:val="22"/>
          <w:szCs w:val="22"/>
        </w:rPr>
        <w:t>MTREF.</w:t>
      </w:r>
    </w:p>
    <w:p w:rsidR="004C5FBA" w:rsidRPr="00ED4446" w:rsidRDefault="004C5FBA" w:rsidP="004C5FBA">
      <w:pPr>
        <w:spacing w:line="276" w:lineRule="auto"/>
        <w:ind w:left="993" w:hanging="993"/>
        <w:jc w:val="both"/>
        <w:rPr>
          <w:rFonts w:cs="Arial"/>
          <w:sz w:val="22"/>
          <w:szCs w:val="22"/>
        </w:rPr>
      </w:pPr>
    </w:p>
    <w:p w:rsidR="004C5FBA" w:rsidRPr="00ED4446" w:rsidRDefault="004C5FBA" w:rsidP="004C5FBA">
      <w:pPr>
        <w:autoSpaceDE w:val="0"/>
        <w:autoSpaceDN w:val="0"/>
        <w:adjustRightInd w:val="0"/>
        <w:spacing w:line="276" w:lineRule="auto"/>
        <w:jc w:val="both"/>
        <w:rPr>
          <w:rFonts w:cs="Arial"/>
          <w:sz w:val="22"/>
          <w:szCs w:val="22"/>
        </w:rPr>
      </w:pPr>
      <w:r w:rsidRPr="00ED4446">
        <w:rPr>
          <w:rFonts w:cs="Arial"/>
          <w:sz w:val="22"/>
          <w:szCs w:val="22"/>
        </w:rPr>
        <w:t>The main challenges experienced du</w:t>
      </w:r>
      <w:r w:rsidR="00E95F29">
        <w:rPr>
          <w:rFonts w:cs="Arial"/>
          <w:sz w:val="22"/>
          <w:szCs w:val="22"/>
        </w:rPr>
        <w:t>rin</w:t>
      </w:r>
      <w:r w:rsidR="00CC2146">
        <w:rPr>
          <w:rFonts w:cs="Arial"/>
          <w:sz w:val="22"/>
          <w:szCs w:val="22"/>
        </w:rPr>
        <w:t>g the compilation of the 2020/21</w:t>
      </w:r>
      <w:r w:rsidRPr="00ED4446">
        <w:rPr>
          <w:rFonts w:cs="Arial"/>
          <w:sz w:val="22"/>
          <w:szCs w:val="22"/>
        </w:rPr>
        <w:t xml:space="preserve"> MTREF can be summarized as follows:</w:t>
      </w:r>
    </w:p>
    <w:p w:rsidR="004C5FBA" w:rsidRPr="00ED4446" w:rsidRDefault="004C5FBA" w:rsidP="004C5FBA">
      <w:pPr>
        <w:autoSpaceDE w:val="0"/>
        <w:autoSpaceDN w:val="0"/>
        <w:adjustRightInd w:val="0"/>
        <w:spacing w:line="276" w:lineRule="auto"/>
        <w:ind w:left="993"/>
        <w:jc w:val="both"/>
        <w:rPr>
          <w:rFonts w:cs="Arial"/>
          <w:sz w:val="22"/>
          <w:szCs w:val="22"/>
        </w:rPr>
      </w:pPr>
    </w:p>
    <w:p w:rsidR="004C5FBA" w:rsidRPr="00ED4446" w:rsidRDefault="004C5FBA"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ED4446">
        <w:rPr>
          <w:rFonts w:cs="Arial"/>
          <w:sz w:val="22"/>
          <w:szCs w:val="22"/>
        </w:rPr>
        <w:t>The ongoing difficulties in the national and local economy;</w:t>
      </w:r>
    </w:p>
    <w:p w:rsidR="004C5FBA" w:rsidRPr="00ED4446" w:rsidRDefault="004C5FBA"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ED4446">
        <w:rPr>
          <w:rFonts w:cs="Arial"/>
          <w:sz w:val="22"/>
          <w:szCs w:val="22"/>
        </w:rPr>
        <w:t xml:space="preserve">Aging and poorly maintained infrastructure; </w:t>
      </w:r>
    </w:p>
    <w:p w:rsidR="004C5FBA" w:rsidRPr="00ED4446" w:rsidRDefault="004C5FBA"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ED4446">
        <w:rPr>
          <w:rFonts w:cs="Arial"/>
          <w:sz w:val="22"/>
          <w:szCs w:val="22"/>
        </w:rPr>
        <w:t>The need to prioritise projects and expenditure within the existing resource envelope given the backlog in infrastructure maintenance;</w:t>
      </w:r>
    </w:p>
    <w:p w:rsidR="004C5FBA" w:rsidRPr="00ED4446" w:rsidRDefault="004C5FBA"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ED4446">
        <w:rPr>
          <w:rFonts w:cs="Arial"/>
          <w:sz w:val="22"/>
          <w:szCs w:val="22"/>
        </w:rPr>
        <w:t>Wage increases is anticipated t</w:t>
      </w:r>
      <w:r w:rsidR="00710856" w:rsidRPr="00ED4446">
        <w:rPr>
          <w:rFonts w:cs="Arial"/>
          <w:sz w:val="22"/>
          <w:szCs w:val="22"/>
        </w:rPr>
        <w:t xml:space="preserve">o exceed consumer inflation; </w:t>
      </w:r>
    </w:p>
    <w:p w:rsidR="004C5FBA" w:rsidRDefault="004C5FBA"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ED4446">
        <w:rPr>
          <w:rFonts w:cs="Arial"/>
          <w:sz w:val="22"/>
          <w:szCs w:val="22"/>
        </w:rPr>
        <w:t>Affordability of capital projects – Municipal Infrastructure Grant, Regional Bulk Infrastructure</w:t>
      </w:r>
      <w:r w:rsidR="009E498A" w:rsidRPr="00ED4446">
        <w:rPr>
          <w:rFonts w:cs="Arial"/>
          <w:sz w:val="22"/>
          <w:szCs w:val="22"/>
        </w:rPr>
        <w:t xml:space="preserve"> Grant, Water Services </w:t>
      </w:r>
      <w:r w:rsidR="00154DE6" w:rsidRPr="00ED4446">
        <w:rPr>
          <w:rFonts w:cs="Arial"/>
          <w:sz w:val="22"/>
          <w:szCs w:val="22"/>
        </w:rPr>
        <w:t>Infrastructure</w:t>
      </w:r>
      <w:r w:rsidRPr="00ED4446">
        <w:rPr>
          <w:rFonts w:cs="Arial"/>
          <w:sz w:val="22"/>
          <w:szCs w:val="22"/>
        </w:rPr>
        <w:t xml:space="preserve"> Grant and Municipal Water Infrastructure Grant funding were allocated towards developing of new ca</w:t>
      </w:r>
      <w:r w:rsidR="00710856" w:rsidRPr="00ED4446">
        <w:rPr>
          <w:rFonts w:cs="Arial"/>
          <w:sz w:val="22"/>
          <w:szCs w:val="22"/>
        </w:rPr>
        <w:t xml:space="preserve">pital infrastructure assets; </w:t>
      </w:r>
    </w:p>
    <w:p w:rsidR="004C5CBA" w:rsidRPr="00ED4446" w:rsidRDefault="004C5CBA" w:rsidP="004C5C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Pr>
          <w:rFonts w:cs="Arial"/>
          <w:sz w:val="22"/>
          <w:szCs w:val="22"/>
        </w:rPr>
        <w:t>Low collection levels and the resistance against pre-paid water meter installations</w:t>
      </w:r>
      <w:r w:rsidR="00CC2146">
        <w:rPr>
          <w:rFonts w:cs="Arial"/>
          <w:sz w:val="22"/>
          <w:szCs w:val="22"/>
        </w:rPr>
        <w:t xml:space="preserve">; </w:t>
      </w:r>
    </w:p>
    <w:p w:rsidR="00710856" w:rsidRDefault="004C5FBA"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ED4446">
        <w:rPr>
          <w:rFonts w:cs="Arial"/>
          <w:sz w:val="22"/>
          <w:szCs w:val="22"/>
        </w:rPr>
        <w:t>Outstanding Service Level Agreements</w:t>
      </w:r>
      <w:r w:rsidR="00CC2146">
        <w:rPr>
          <w:rFonts w:cs="Arial"/>
          <w:sz w:val="22"/>
          <w:szCs w:val="22"/>
        </w:rPr>
        <w:t>; and</w:t>
      </w:r>
    </w:p>
    <w:p w:rsidR="00CC2146" w:rsidRPr="00ED4446" w:rsidRDefault="00CC2146"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Pr>
          <w:rFonts w:cs="Arial"/>
          <w:sz w:val="22"/>
          <w:szCs w:val="22"/>
        </w:rPr>
        <w:t>The mapping of the A7 and A30 not being available at date of submitting the Budget Report to Council.</w:t>
      </w:r>
    </w:p>
    <w:p w:rsidR="004C5FBA" w:rsidRPr="00ED4446" w:rsidRDefault="004C5FBA" w:rsidP="004C5FBA">
      <w:pPr>
        <w:autoSpaceDE w:val="0"/>
        <w:autoSpaceDN w:val="0"/>
        <w:adjustRightInd w:val="0"/>
        <w:spacing w:line="276" w:lineRule="auto"/>
        <w:jc w:val="both"/>
        <w:rPr>
          <w:rFonts w:cs="Arial"/>
          <w:sz w:val="22"/>
          <w:szCs w:val="22"/>
        </w:rPr>
      </w:pPr>
    </w:p>
    <w:p w:rsidR="004C5FBA" w:rsidRPr="00ED4446" w:rsidRDefault="004C5FBA" w:rsidP="004C5FBA">
      <w:pPr>
        <w:spacing w:line="276" w:lineRule="auto"/>
        <w:jc w:val="both"/>
        <w:rPr>
          <w:rFonts w:cs="Arial"/>
          <w:sz w:val="22"/>
          <w:szCs w:val="22"/>
        </w:rPr>
      </w:pPr>
      <w:r w:rsidRPr="00ED4446">
        <w:rPr>
          <w:rFonts w:cs="Arial"/>
          <w:sz w:val="22"/>
          <w:szCs w:val="22"/>
        </w:rPr>
        <w:t xml:space="preserve">The following budget principles and guidelines directly informed the compilation of the </w:t>
      </w:r>
      <w:r w:rsidR="00CC2146">
        <w:rPr>
          <w:rFonts w:cs="Arial"/>
          <w:sz w:val="22"/>
          <w:szCs w:val="22"/>
        </w:rPr>
        <w:t>2020/21</w:t>
      </w:r>
      <w:r w:rsidRPr="00ED4446">
        <w:rPr>
          <w:rFonts w:cs="Arial"/>
          <w:sz w:val="22"/>
          <w:szCs w:val="22"/>
        </w:rPr>
        <w:t xml:space="preserve"> MTREF:</w:t>
      </w:r>
    </w:p>
    <w:p w:rsidR="004C5FBA" w:rsidRPr="00ED4446" w:rsidRDefault="004C5FBA" w:rsidP="004C5FBA">
      <w:pPr>
        <w:spacing w:line="276" w:lineRule="auto"/>
        <w:jc w:val="both"/>
        <w:rPr>
          <w:rFonts w:cs="Arial"/>
          <w:sz w:val="22"/>
          <w:szCs w:val="22"/>
        </w:rPr>
      </w:pPr>
    </w:p>
    <w:p w:rsidR="004C5FBA" w:rsidRPr="00ED4446" w:rsidRDefault="004C5FBA"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ED4446">
        <w:rPr>
          <w:rFonts w:cs="Arial"/>
          <w:sz w:val="22"/>
          <w:szCs w:val="22"/>
        </w:rPr>
        <w:t>Tariff increases should be affordable and should generally not exceed inflation as measured by the CPI, except where there are price increases in the inputs of services that are beyond the control of the municipality, for instance the cost of bulk water, employee related costs and other costs drivers. In addition, tariffs need to move towards being cost reflective, and should take into account the need to address infrastructure backlogs;</w:t>
      </w:r>
    </w:p>
    <w:p w:rsidR="004C5FBA" w:rsidRPr="00ED4446" w:rsidRDefault="004C5FBA" w:rsidP="004C5FBA">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ED4446">
        <w:rPr>
          <w:rFonts w:cs="Arial"/>
          <w:sz w:val="22"/>
          <w:szCs w:val="22"/>
        </w:rPr>
        <w:t>Working for Water and Department of Roads</w:t>
      </w:r>
      <w:r w:rsidR="00710856" w:rsidRPr="00ED4446">
        <w:rPr>
          <w:rFonts w:cs="Arial"/>
          <w:sz w:val="22"/>
          <w:szCs w:val="22"/>
        </w:rPr>
        <w:t xml:space="preserve"> and Transports grants are not G</w:t>
      </w:r>
      <w:r w:rsidR="00E95F29">
        <w:rPr>
          <w:rFonts w:cs="Arial"/>
          <w:sz w:val="22"/>
          <w:szCs w:val="22"/>
        </w:rPr>
        <w:t>azetted and</w:t>
      </w:r>
      <w:r w:rsidRPr="00ED4446">
        <w:rPr>
          <w:rFonts w:cs="Arial"/>
          <w:sz w:val="22"/>
          <w:szCs w:val="22"/>
        </w:rPr>
        <w:t xml:space="preserve"> have </w:t>
      </w:r>
      <w:r w:rsidR="00E95F29">
        <w:rPr>
          <w:rFonts w:cs="Arial"/>
          <w:sz w:val="22"/>
          <w:szCs w:val="22"/>
        </w:rPr>
        <w:t xml:space="preserve">not </w:t>
      </w:r>
      <w:r w:rsidRPr="00ED4446">
        <w:rPr>
          <w:rFonts w:cs="Arial"/>
          <w:sz w:val="22"/>
          <w:szCs w:val="22"/>
        </w:rPr>
        <w:t>been included in the budget</w:t>
      </w:r>
      <w:r w:rsidR="00E95F29">
        <w:rPr>
          <w:rFonts w:cs="Arial"/>
          <w:sz w:val="22"/>
          <w:szCs w:val="22"/>
        </w:rPr>
        <w:t>, due to no signed service level agreements being in place at date of budget preparation</w:t>
      </w:r>
      <w:r w:rsidRPr="00ED4446">
        <w:rPr>
          <w:rFonts w:cs="Arial"/>
          <w:sz w:val="22"/>
          <w:szCs w:val="22"/>
        </w:rPr>
        <w:t>. All other gra</w:t>
      </w:r>
      <w:r w:rsidR="00710856" w:rsidRPr="00ED4446">
        <w:rPr>
          <w:rFonts w:cs="Arial"/>
          <w:sz w:val="22"/>
          <w:szCs w:val="22"/>
        </w:rPr>
        <w:t>nt funding, allocated has been G</w:t>
      </w:r>
      <w:r w:rsidRPr="00ED4446">
        <w:rPr>
          <w:rFonts w:cs="Arial"/>
          <w:sz w:val="22"/>
          <w:szCs w:val="22"/>
        </w:rPr>
        <w:t>azetted as required by the annual Division of Revenue Act;</w:t>
      </w:r>
    </w:p>
    <w:p w:rsidR="004C5FBA" w:rsidRPr="00ED4446" w:rsidRDefault="004C5FBA" w:rsidP="004C5FBA">
      <w:pPr>
        <w:spacing w:line="276" w:lineRule="auto"/>
        <w:jc w:val="both"/>
        <w:rPr>
          <w:rFonts w:cs="Arial"/>
          <w:sz w:val="22"/>
          <w:szCs w:val="22"/>
        </w:rPr>
      </w:pPr>
    </w:p>
    <w:p w:rsidR="004C5FBA" w:rsidRPr="00ED4446" w:rsidRDefault="004C5FBA" w:rsidP="004C5FBA">
      <w:pPr>
        <w:spacing w:line="276" w:lineRule="auto"/>
        <w:jc w:val="both"/>
        <w:rPr>
          <w:rFonts w:cs="Arial"/>
          <w:sz w:val="22"/>
          <w:szCs w:val="22"/>
        </w:rPr>
      </w:pPr>
      <w:r w:rsidRPr="00ED4446">
        <w:rPr>
          <w:rFonts w:cs="Arial"/>
          <w:sz w:val="22"/>
          <w:szCs w:val="22"/>
        </w:rPr>
        <w:t xml:space="preserve">In view of the aforementioned, the following table is a consolidated overview of the proposed </w:t>
      </w:r>
      <w:r w:rsidR="00CC2146">
        <w:rPr>
          <w:rFonts w:cs="Arial"/>
          <w:sz w:val="22"/>
          <w:szCs w:val="22"/>
        </w:rPr>
        <w:t>2020/21</w:t>
      </w:r>
      <w:r w:rsidRPr="00ED4446">
        <w:rPr>
          <w:rFonts w:cs="Arial"/>
          <w:sz w:val="22"/>
          <w:szCs w:val="22"/>
        </w:rPr>
        <w:t xml:space="preserve"> Medium-term Revenue and Expenditure Framework:</w:t>
      </w:r>
    </w:p>
    <w:p w:rsidR="00221FA0" w:rsidRPr="006B215D" w:rsidRDefault="00221FA0" w:rsidP="00221FA0">
      <w:pPr>
        <w:spacing w:line="276" w:lineRule="auto"/>
        <w:jc w:val="both"/>
        <w:rPr>
          <w:rFonts w:cs="Arial"/>
          <w:sz w:val="20"/>
          <w:szCs w:val="20"/>
        </w:rPr>
      </w:pPr>
    </w:p>
    <w:p w:rsidR="005B2EC0" w:rsidRDefault="005B2EC0" w:rsidP="00A24B6C">
      <w:pPr>
        <w:pStyle w:val="Caption"/>
        <w:tabs>
          <w:tab w:val="left" w:pos="851"/>
        </w:tabs>
        <w:rPr>
          <w:color w:val="984806"/>
          <w:sz w:val="20"/>
          <w:szCs w:val="20"/>
        </w:rPr>
      </w:pPr>
      <w:bookmarkStart w:id="18" w:name="_Toc287342442"/>
      <w:bookmarkStart w:id="19" w:name="_Toc287815455"/>
      <w:bookmarkStart w:id="20" w:name="_Toc356917084"/>
    </w:p>
    <w:p w:rsidR="004C5CBA" w:rsidRDefault="004C5CBA" w:rsidP="004C5CBA">
      <w:pPr>
        <w:rPr>
          <w:lang w:val="en-ZA"/>
        </w:rPr>
      </w:pPr>
    </w:p>
    <w:p w:rsidR="004C5CBA" w:rsidRPr="004C5CBA" w:rsidRDefault="004C5CBA" w:rsidP="004C5CBA">
      <w:pPr>
        <w:rPr>
          <w:lang w:val="en-ZA"/>
        </w:rPr>
      </w:pPr>
    </w:p>
    <w:p w:rsidR="005B2EC0" w:rsidRDefault="005B2EC0" w:rsidP="00A24B6C">
      <w:pPr>
        <w:pStyle w:val="Caption"/>
        <w:tabs>
          <w:tab w:val="left" w:pos="851"/>
        </w:tabs>
        <w:rPr>
          <w:color w:val="984806"/>
          <w:sz w:val="20"/>
          <w:szCs w:val="20"/>
        </w:rPr>
      </w:pPr>
    </w:p>
    <w:p w:rsidR="00221FA0" w:rsidRPr="00ED4446" w:rsidRDefault="00244E6E" w:rsidP="00A24B6C">
      <w:pPr>
        <w:pStyle w:val="Caption"/>
        <w:tabs>
          <w:tab w:val="left" w:pos="851"/>
        </w:tabs>
        <w:rPr>
          <w:rFonts w:cs="Arial"/>
          <w:color w:val="984806"/>
          <w:szCs w:val="22"/>
        </w:rPr>
      </w:pPr>
      <w:bookmarkStart w:id="21" w:name="_Toc509209317"/>
      <w:r w:rsidRPr="00273513">
        <w:rPr>
          <w:color w:val="984806"/>
          <w:szCs w:val="22"/>
        </w:rPr>
        <w:lastRenderedPageBreak/>
        <w:t xml:space="preserve">Table </w:t>
      </w:r>
      <w:r w:rsidR="001A457F" w:rsidRPr="00273513">
        <w:rPr>
          <w:color w:val="984806"/>
          <w:szCs w:val="22"/>
        </w:rPr>
        <w:fldChar w:fldCharType="begin"/>
      </w:r>
      <w:r w:rsidRPr="00273513">
        <w:rPr>
          <w:color w:val="984806"/>
          <w:szCs w:val="22"/>
        </w:rPr>
        <w:instrText xml:space="preserve"> SEQ Table \* ARABIC </w:instrText>
      </w:r>
      <w:r w:rsidR="001A457F" w:rsidRPr="00273513">
        <w:rPr>
          <w:color w:val="984806"/>
          <w:szCs w:val="22"/>
        </w:rPr>
        <w:fldChar w:fldCharType="separate"/>
      </w:r>
      <w:r w:rsidR="00E262AD" w:rsidRPr="00273513">
        <w:rPr>
          <w:noProof/>
          <w:color w:val="984806"/>
          <w:szCs w:val="22"/>
        </w:rPr>
        <w:t>1</w:t>
      </w:r>
      <w:r w:rsidR="001A457F" w:rsidRPr="00273513">
        <w:rPr>
          <w:color w:val="984806"/>
          <w:szCs w:val="22"/>
        </w:rPr>
        <w:fldChar w:fldCharType="end"/>
      </w:r>
      <w:r w:rsidR="002111AD" w:rsidRPr="00273513">
        <w:rPr>
          <w:rFonts w:cs="Arial"/>
          <w:color w:val="984806"/>
          <w:szCs w:val="22"/>
        </w:rPr>
        <w:tab/>
      </w:r>
      <w:r w:rsidR="00221FA0" w:rsidRPr="00273513">
        <w:rPr>
          <w:rFonts w:cs="Arial"/>
          <w:color w:val="984806"/>
          <w:szCs w:val="22"/>
        </w:rPr>
        <w:t>C</w:t>
      </w:r>
      <w:r w:rsidR="00B74D37" w:rsidRPr="00273513">
        <w:rPr>
          <w:rFonts w:cs="Arial"/>
          <w:color w:val="984806"/>
          <w:szCs w:val="22"/>
        </w:rPr>
        <w:t xml:space="preserve">onsolidated Overview of the </w:t>
      </w:r>
      <w:r w:rsidR="00CC2146">
        <w:rPr>
          <w:rFonts w:cs="Arial"/>
          <w:color w:val="984806"/>
          <w:szCs w:val="22"/>
        </w:rPr>
        <w:t>2020/21</w:t>
      </w:r>
      <w:r w:rsidR="00E95F29" w:rsidRPr="00273513">
        <w:rPr>
          <w:rFonts w:cs="Arial"/>
          <w:color w:val="984806"/>
          <w:szCs w:val="22"/>
        </w:rPr>
        <w:t xml:space="preserve"> </w:t>
      </w:r>
      <w:r w:rsidR="00221FA0" w:rsidRPr="00273513">
        <w:rPr>
          <w:rFonts w:cs="Arial"/>
          <w:color w:val="984806"/>
          <w:szCs w:val="22"/>
        </w:rPr>
        <w:t>MTREF</w:t>
      </w:r>
      <w:bookmarkEnd w:id="18"/>
      <w:bookmarkEnd w:id="19"/>
      <w:bookmarkEnd w:id="20"/>
      <w:bookmarkEnd w:id="21"/>
    </w:p>
    <w:p w:rsidR="000E4C45" w:rsidRDefault="008F6D94" w:rsidP="000E4C45">
      <w:pPr>
        <w:rPr>
          <w:lang w:val="en-ZA"/>
        </w:rPr>
      </w:pPr>
      <w:r w:rsidRPr="008F6D94">
        <w:drawing>
          <wp:inline distT="0" distB="0" distL="0" distR="0">
            <wp:extent cx="6118860" cy="34061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20765" cy="3407200"/>
                    </a:xfrm>
                    <a:prstGeom prst="rect">
                      <a:avLst/>
                    </a:prstGeom>
                    <a:noFill/>
                    <a:ln w="9525">
                      <a:noFill/>
                      <a:miter lim="800000"/>
                      <a:headEnd/>
                      <a:tailEnd/>
                    </a:ln>
                  </pic:spPr>
                </pic:pic>
              </a:graphicData>
            </a:graphic>
          </wp:inline>
        </w:drawing>
      </w:r>
    </w:p>
    <w:p w:rsidR="000E4C45" w:rsidRDefault="000E4C45" w:rsidP="000E4C45">
      <w:pPr>
        <w:rPr>
          <w:lang w:val="en-ZA"/>
        </w:rPr>
      </w:pPr>
    </w:p>
    <w:p w:rsidR="005357A0" w:rsidRPr="00ED4446" w:rsidRDefault="005357A0" w:rsidP="004904FA">
      <w:pPr>
        <w:spacing w:line="276" w:lineRule="auto"/>
        <w:jc w:val="both"/>
        <w:rPr>
          <w:rFonts w:cs="Arial"/>
          <w:sz w:val="22"/>
          <w:szCs w:val="22"/>
        </w:rPr>
      </w:pPr>
      <w:r w:rsidRPr="00ED4446">
        <w:rPr>
          <w:rFonts w:cs="Arial"/>
          <w:sz w:val="22"/>
          <w:szCs w:val="22"/>
        </w:rPr>
        <w:t>A Budget Committee was established to examine, review and prioritise budget proposals from departments</w:t>
      </w:r>
    </w:p>
    <w:p w:rsidR="005357A0" w:rsidRPr="00ED4446" w:rsidRDefault="005357A0" w:rsidP="004904FA">
      <w:pPr>
        <w:spacing w:line="276" w:lineRule="auto"/>
        <w:jc w:val="both"/>
        <w:rPr>
          <w:rFonts w:cs="Arial"/>
          <w:sz w:val="22"/>
          <w:szCs w:val="22"/>
        </w:rPr>
      </w:pPr>
    </w:p>
    <w:p w:rsidR="005357A0" w:rsidRDefault="005357A0" w:rsidP="005357A0">
      <w:pPr>
        <w:spacing w:line="276" w:lineRule="auto"/>
        <w:jc w:val="both"/>
        <w:rPr>
          <w:rFonts w:cs="Arial"/>
          <w:sz w:val="22"/>
          <w:szCs w:val="22"/>
        </w:rPr>
      </w:pPr>
      <w:r w:rsidRPr="00ED4446">
        <w:rPr>
          <w:rFonts w:cs="Arial"/>
          <w:sz w:val="22"/>
          <w:szCs w:val="22"/>
        </w:rPr>
        <w:t>Over the 3 year period, the Munici</w:t>
      </w:r>
      <w:r w:rsidR="00E95F29">
        <w:rPr>
          <w:rFonts w:cs="Arial"/>
          <w:sz w:val="22"/>
          <w:szCs w:val="22"/>
        </w:rPr>
        <w:t xml:space="preserve">pality is planning to spend </w:t>
      </w:r>
      <w:r w:rsidR="00E95F29" w:rsidRPr="00DE2254">
        <w:rPr>
          <w:rFonts w:cs="Arial"/>
          <w:sz w:val="22"/>
          <w:szCs w:val="22"/>
        </w:rPr>
        <w:t>R</w:t>
      </w:r>
      <w:r w:rsidR="006C26CD" w:rsidRPr="00DE2254">
        <w:rPr>
          <w:rFonts w:cs="Arial"/>
          <w:sz w:val="22"/>
          <w:szCs w:val="22"/>
        </w:rPr>
        <w:t>1</w:t>
      </w:r>
      <w:r w:rsidR="00CC2146">
        <w:rPr>
          <w:rFonts w:cs="Arial"/>
          <w:sz w:val="22"/>
          <w:szCs w:val="22"/>
        </w:rPr>
        <w:t xml:space="preserve"> b</w:t>
      </w:r>
      <w:r w:rsidRPr="00DE2254">
        <w:rPr>
          <w:rFonts w:cs="Arial"/>
          <w:sz w:val="22"/>
          <w:szCs w:val="22"/>
        </w:rPr>
        <w:t>illion on capital investment for the infrastructure needs of the District.</w:t>
      </w:r>
      <w:r w:rsidR="00CC2146">
        <w:rPr>
          <w:rFonts w:cs="Arial"/>
          <w:sz w:val="22"/>
          <w:szCs w:val="22"/>
        </w:rPr>
        <w:t xml:space="preserve"> The Capital Budget for the 2020/21</w:t>
      </w:r>
      <w:r w:rsidR="00E95F29" w:rsidRPr="00DE2254">
        <w:rPr>
          <w:rFonts w:cs="Arial"/>
          <w:sz w:val="22"/>
          <w:szCs w:val="22"/>
        </w:rPr>
        <w:t xml:space="preserve"> Financia</w:t>
      </w:r>
      <w:r w:rsidR="008F6D94">
        <w:rPr>
          <w:rFonts w:cs="Arial"/>
          <w:sz w:val="22"/>
          <w:szCs w:val="22"/>
        </w:rPr>
        <w:t>l Year is R304</w:t>
      </w:r>
      <w:r w:rsidRPr="00DE2254">
        <w:rPr>
          <w:rFonts w:cs="Arial"/>
          <w:sz w:val="22"/>
          <w:szCs w:val="22"/>
        </w:rPr>
        <w:t xml:space="preserve"> million. Operating e</w:t>
      </w:r>
      <w:r w:rsidR="005E575E" w:rsidRPr="00DE2254">
        <w:rPr>
          <w:rFonts w:cs="Arial"/>
          <w:sz w:val="22"/>
          <w:szCs w:val="22"/>
        </w:rPr>
        <w:t>xpenditure is budgeted</w:t>
      </w:r>
      <w:r w:rsidR="008F6D94">
        <w:rPr>
          <w:rFonts w:cs="Arial"/>
          <w:sz w:val="22"/>
          <w:szCs w:val="22"/>
        </w:rPr>
        <w:t xml:space="preserve"> at R557</w:t>
      </w:r>
      <w:r w:rsidRPr="00DE2254">
        <w:rPr>
          <w:rFonts w:cs="Arial"/>
          <w:sz w:val="22"/>
          <w:szCs w:val="22"/>
        </w:rPr>
        <w:t xml:space="preserve"> million</w:t>
      </w:r>
      <w:r w:rsidR="008F6D94">
        <w:rPr>
          <w:rFonts w:cs="Arial"/>
          <w:sz w:val="22"/>
          <w:szCs w:val="22"/>
        </w:rPr>
        <w:t>, R37 million</w:t>
      </w:r>
      <w:r w:rsidR="00E95F29" w:rsidRPr="00DE2254">
        <w:rPr>
          <w:rFonts w:cs="Arial"/>
          <w:sz w:val="22"/>
          <w:szCs w:val="22"/>
        </w:rPr>
        <w:t xml:space="preserve"> </w:t>
      </w:r>
      <w:r w:rsidR="008F6D94">
        <w:rPr>
          <w:rFonts w:cs="Arial"/>
          <w:sz w:val="22"/>
          <w:szCs w:val="22"/>
        </w:rPr>
        <w:t xml:space="preserve">more </w:t>
      </w:r>
      <w:r w:rsidR="00E95F29" w:rsidRPr="00DE2254">
        <w:rPr>
          <w:rFonts w:cs="Arial"/>
          <w:sz w:val="22"/>
          <w:szCs w:val="22"/>
        </w:rPr>
        <w:t xml:space="preserve">than </w:t>
      </w:r>
      <w:r w:rsidR="008F6D94">
        <w:rPr>
          <w:rFonts w:cs="Arial"/>
          <w:sz w:val="22"/>
          <w:szCs w:val="22"/>
        </w:rPr>
        <w:t>per the Draft Budget</w:t>
      </w:r>
      <w:r w:rsidRPr="00DE2254">
        <w:rPr>
          <w:rFonts w:cs="Arial"/>
          <w:sz w:val="22"/>
          <w:szCs w:val="22"/>
        </w:rPr>
        <w:t xml:space="preserve"> and the oper</w:t>
      </w:r>
      <w:r w:rsidR="00E95F29" w:rsidRPr="00DE2254">
        <w:rPr>
          <w:rFonts w:cs="Arial"/>
          <w:sz w:val="22"/>
          <w:szCs w:val="22"/>
        </w:rPr>
        <w:t>a</w:t>
      </w:r>
      <w:r w:rsidR="008F6D94">
        <w:rPr>
          <w:rFonts w:cs="Arial"/>
          <w:sz w:val="22"/>
          <w:szCs w:val="22"/>
        </w:rPr>
        <w:t>ting revenue is budgeted at R614</w:t>
      </w:r>
      <w:r w:rsidR="00CC2146">
        <w:rPr>
          <w:rFonts w:cs="Arial"/>
          <w:sz w:val="22"/>
          <w:szCs w:val="22"/>
        </w:rPr>
        <w:t xml:space="preserve"> million for the 2020</w:t>
      </w:r>
      <w:r w:rsidRPr="00DE2254">
        <w:rPr>
          <w:rFonts w:cs="Arial"/>
          <w:sz w:val="22"/>
          <w:szCs w:val="22"/>
        </w:rPr>
        <w:t>/</w:t>
      </w:r>
      <w:r w:rsidR="00CC2146">
        <w:rPr>
          <w:rFonts w:cs="Arial"/>
          <w:sz w:val="22"/>
          <w:szCs w:val="22"/>
        </w:rPr>
        <w:t>21</w:t>
      </w:r>
      <w:r w:rsidRPr="00DE2254">
        <w:rPr>
          <w:rFonts w:cs="Arial"/>
          <w:sz w:val="22"/>
          <w:szCs w:val="22"/>
        </w:rPr>
        <w:t xml:space="preserve"> Financial Year.</w:t>
      </w:r>
      <w:r w:rsidRPr="00ED4446">
        <w:rPr>
          <w:rFonts w:cs="Arial"/>
          <w:sz w:val="22"/>
          <w:szCs w:val="22"/>
        </w:rPr>
        <w:t xml:space="preserve"> </w:t>
      </w:r>
    </w:p>
    <w:p w:rsidR="00814CEC" w:rsidRDefault="00814CEC" w:rsidP="005357A0">
      <w:pPr>
        <w:spacing w:line="276" w:lineRule="auto"/>
        <w:jc w:val="both"/>
        <w:rPr>
          <w:rFonts w:cs="Arial"/>
          <w:sz w:val="22"/>
          <w:szCs w:val="22"/>
        </w:rPr>
      </w:pPr>
    </w:p>
    <w:p w:rsidR="00814CEC" w:rsidRDefault="00814CEC" w:rsidP="00814CEC">
      <w:pPr>
        <w:jc w:val="both"/>
        <w:rPr>
          <w:rFonts w:cs="Arial"/>
          <w:sz w:val="22"/>
          <w:szCs w:val="22"/>
        </w:rPr>
      </w:pPr>
      <w:r>
        <w:rPr>
          <w:rFonts w:cs="Arial"/>
          <w:sz w:val="22"/>
          <w:szCs w:val="22"/>
        </w:rPr>
        <w:t xml:space="preserve">Concerns have recently been raised by National Treasury in relation to the amount of municipalities budgeting for a deficit in the Budgeted Statement of Financial Performance. </w:t>
      </w:r>
    </w:p>
    <w:p w:rsidR="00814CEC" w:rsidRDefault="00814CEC" w:rsidP="00814CEC">
      <w:pPr>
        <w:jc w:val="both"/>
        <w:rPr>
          <w:rFonts w:cs="Arial"/>
          <w:sz w:val="22"/>
          <w:szCs w:val="22"/>
        </w:rPr>
      </w:pPr>
    </w:p>
    <w:p w:rsidR="00814CEC" w:rsidRDefault="00814CEC" w:rsidP="003906F4">
      <w:pPr>
        <w:spacing w:line="276" w:lineRule="auto"/>
        <w:jc w:val="both"/>
        <w:rPr>
          <w:rFonts w:cs="Arial"/>
          <w:sz w:val="22"/>
          <w:szCs w:val="22"/>
          <w:lang w:val="en-ZA" w:eastAsia="en-ZA"/>
        </w:rPr>
      </w:pPr>
      <w:r w:rsidRPr="00C854A3">
        <w:rPr>
          <w:rFonts w:cs="Arial"/>
          <w:sz w:val="22"/>
          <w:szCs w:val="22"/>
          <w:lang w:val="en-ZA" w:eastAsia="en-ZA"/>
        </w:rPr>
        <w:t xml:space="preserve">The National </w:t>
      </w:r>
      <w:r w:rsidR="003906F4">
        <w:rPr>
          <w:rFonts w:cs="Arial"/>
          <w:sz w:val="22"/>
          <w:szCs w:val="22"/>
          <w:lang w:val="en-ZA" w:eastAsia="en-ZA"/>
        </w:rPr>
        <w:t>Treasury has</w:t>
      </w:r>
      <w:r w:rsidRPr="00C854A3">
        <w:rPr>
          <w:rFonts w:cs="Arial"/>
          <w:sz w:val="22"/>
          <w:szCs w:val="22"/>
          <w:lang w:val="en-ZA" w:eastAsia="en-ZA"/>
        </w:rPr>
        <w:t xml:space="preserve"> requested municipalities over time via the annual MFMA Budget Circulars to consider tabling a surplus budget on the statement of operating performance</w:t>
      </w:r>
      <w:r w:rsidR="003906F4">
        <w:rPr>
          <w:rFonts w:cs="Arial"/>
          <w:sz w:val="22"/>
          <w:szCs w:val="22"/>
          <w:lang w:val="en-ZA" w:eastAsia="en-ZA"/>
        </w:rPr>
        <w:t xml:space="preserve"> to enable </w:t>
      </w:r>
      <w:r>
        <w:rPr>
          <w:rFonts w:cs="Arial"/>
          <w:sz w:val="22"/>
          <w:szCs w:val="22"/>
          <w:lang w:val="en-ZA" w:eastAsia="en-ZA"/>
        </w:rPr>
        <w:t>municipalities to a</w:t>
      </w:r>
      <w:r w:rsidRPr="00C854A3">
        <w:rPr>
          <w:rFonts w:cs="Arial"/>
          <w:sz w:val="22"/>
          <w:szCs w:val="22"/>
          <w:lang w:val="en-ZA" w:eastAsia="en-ZA"/>
        </w:rPr>
        <w:t>ugment the capital replacement fund (CCR) which can be used to contribute to the Internally Generated Funding as a source of funding f</w:t>
      </w:r>
      <w:r>
        <w:rPr>
          <w:rFonts w:cs="Arial"/>
          <w:sz w:val="22"/>
          <w:szCs w:val="22"/>
          <w:lang w:val="en-ZA" w:eastAsia="en-ZA"/>
        </w:rPr>
        <w:t>or the Municipal Capital Budget.</w:t>
      </w:r>
    </w:p>
    <w:p w:rsidR="003906F4" w:rsidRPr="00C854A3" w:rsidRDefault="003906F4" w:rsidP="003906F4">
      <w:pPr>
        <w:spacing w:line="276" w:lineRule="auto"/>
        <w:jc w:val="both"/>
        <w:rPr>
          <w:rFonts w:cs="Arial"/>
          <w:sz w:val="22"/>
          <w:szCs w:val="22"/>
          <w:lang w:val="en-ZA" w:eastAsia="en-ZA"/>
        </w:rPr>
      </w:pPr>
    </w:p>
    <w:p w:rsidR="00814CEC" w:rsidRDefault="00814CEC" w:rsidP="003906F4">
      <w:pPr>
        <w:spacing w:line="276" w:lineRule="auto"/>
        <w:jc w:val="both"/>
        <w:rPr>
          <w:rFonts w:cs="Arial"/>
          <w:sz w:val="22"/>
          <w:szCs w:val="22"/>
        </w:rPr>
      </w:pPr>
      <w:r>
        <w:rPr>
          <w:rFonts w:cs="Arial"/>
          <w:sz w:val="22"/>
          <w:szCs w:val="22"/>
        </w:rPr>
        <w:t>National Treasury is also of a view that a budgeted deficit is indicative that a municipality is living above the municipality’s means.</w:t>
      </w:r>
    </w:p>
    <w:p w:rsidR="00814CEC" w:rsidRDefault="00814CEC" w:rsidP="003906F4">
      <w:pPr>
        <w:spacing w:line="276" w:lineRule="auto"/>
        <w:jc w:val="both"/>
        <w:rPr>
          <w:rFonts w:cs="Arial"/>
          <w:sz w:val="22"/>
          <w:szCs w:val="22"/>
        </w:rPr>
      </w:pPr>
      <w:r>
        <w:rPr>
          <w:rFonts w:cs="Arial"/>
          <w:sz w:val="22"/>
          <w:szCs w:val="22"/>
        </w:rPr>
        <w:t>As evident from the table a</w:t>
      </w:r>
      <w:r w:rsidR="00E95F29">
        <w:rPr>
          <w:rFonts w:cs="Arial"/>
          <w:sz w:val="22"/>
          <w:szCs w:val="22"/>
        </w:rPr>
        <w:t xml:space="preserve">bove, the municipality has a budgeted surplus </w:t>
      </w:r>
      <w:r w:rsidR="008F6D94">
        <w:rPr>
          <w:rFonts w:cs="Arial"/>
          <w:sz w:val="22"/>
          <w:szCs w:val="22"/>
        </w:rPr>
        <w:t>of R1</w:t>
      </w:r>
      <w:r w:rsidR="00CC2146">
        <w:rPr>
          <w:rFonts w:cs="Arial"/>
          <w:sz w:val="22"/>
          <w:szCs w:val="22"/>
        </w:rPr>
        <w:t>80</w:t>
      </w:r>
      <w:r w:rsidR="00B94303">
        <w:rPr>
          <w:rFonts w:cs="Arial"/>
          <w:sz w:val="22"/>
          <w:szCs w:val="22"/>
        </w:rPr>
        <w:t xml:space="preserve"> million </w:t>
      </w:r>
      <w:r w:rsidR="00E95F29">
        <w:rPr>
          <w:rFonts w:cs="Arial"/>
          <w:sz w:val="22"/>
          <w:szCs w:val="22"/>
        </w:rPr>
        <w:t>over the MTREF.</w:t>
      </w:r>
      <w:r w:rsidR="004C5CBA">
        <w:rPr>
          <w:rFonts w:cs="Arial"/>
          <w:sz w:val="22"/>
          <w:szCs w:val="22"/>
        </w:rPr>
        <w:t xml:space="preserve"> This together with the supporting table SA10 – funding measurement on page 44, indicates that the budget is funded over the MTREF.</w:t>
      </w:r>
    </w:p>
    <w:p w:rsidR="00ED4446" w:rsidRPr="00ED4446" w:rsidRDefault="00ED4446" w:rsidP="00221FA0">
      <w:pPr>
        <w:spacing w:line="276" w:lineRule="auto"/>
        <w:jc w:val="both"/>
        <w:rPr>
          <w:rFonts w:cs="Arial"/>
          <w:sz w:val="22"/>
          <w:szCs w:val="22"/>
        </w:rPr>
      </w:pPr>
    </w:p>
    <w:p w:rsidR="008044CB" w:rsidRPr="00ED4446" w:rsidRDefault="008044CB" w:rsidP="00646669">
      <w:pPr>
        <w:pStyle w:val="Heading2"/>
        <w:ind w:left="567" w:hanging="567"/>
        <w:rPr>
          <w:color w:val="984806"/>
          <w:sz w:val="22"/>
          <w:szCs w:val="22"/>
        </w:rPr>
      </w:pPr>
      <w:bookmarkStart w:id="22" w:name="_Toc286034093"/>
      <w:bookmarkStart w:id="23" w:name="_Toc286034684"/>
      <w:bookmarkStart w:id="24" w:name="_Toc286041435"/>
      <w:bookmarkStart w:id="25" w:name="_Toc286041504"/>
      <w:bookmarkStart w:id="26" w:name="_Toc286117314"/>
      <w:bookmarkStart w:id="27" w:name="_Toc287342525"/>
      <w:bookmarkStart w:id="28" w:name="_Toc287796996"/>
      <w:bookmarkStart w:id="29" w:name="_Toc3962564"/>
      <w:r w:rsidRPr="00ED4446">
        <w:rPr>
          <w:color w:val="984806"/>
          <w:sz w:val="22"/>
          <w:szCs w:val="22"/>
        </w:rPr>
        <w:t>Operating Revenue Framework</w:t>
      </w:r>
      <w:bookmarkEnd w:id="22"/>
      <w:bookmarkEnd w:id="23"/>
      <w:bookmarkEnd w:id="24"/>
      <w:bookmarkEnd w:id="25"/>
      <w:bookmarkEnd w:id="26"/>
      <w:bookmarkEnd w:id="27"/>
      <w:bookmarkEnd w:id="28"/>
      <w:bookmarkEnd w:id="29"/>
    </w:p>
    <w:p w:rsidR="008044CB" w:rsidRPr="00ED4446" w:rsidRDefault="008044CB" w:rsidP="006B215D">
      <w:pPr>
        <w:pStyle w:val="Paragraph"/>
        <w:tabs>
          <w:tab w:val="clear" w:pos="284"/>
          <w:tab w:val="clear" w:pos="567"/>
          <w:tab w:val="clear" w:pos="851"/>
        </w:tabs>
        <w:spacing w:after="0" w:line="276" w:lineRule="auto"/>
        <w:rPr>
          <w:rFonts w:ascii="Arial" w:hAnsi="Arial" w:cs="Arial"/>
          <w:szCs w:val="22"/>
        </w:rPr>
      </w:pPr>
    </w:p>
    <w:p w:rsidR="00ED4446" w:rsidRDefault="00E20F33" w:rsidP="006B215D">
      <w:pPr>
        <w:spacing w:line="276" w:lineRule="auto"/>
        <w:jc w:val="both"/>
        <w:rPr>
          <w:rFonts w:cs="Arial"/>
          <w:sz w:val="22"/>
          <w:szCs w:val="22"/>
        </w:rPr>
      </w:pPr>
      <w:r w:rsidRPr="00ED4446">
        <w:rPr>
          <w:rFonts w:cs="Arial"/>
          <w:sz w:val="22"/>
          <w:szCs w:val="22"/>
        </w:rPr>
        <w:t>JGDM</w:t>
      </w:r>
      <w:r w:rsidR="00F857AB">
        <w:rPr>
          <w:rFonts w:cs="Arial"/>
          <w:sz w:val="22"/>
          <w:szCs w:val="22"/>
        </w:rPr>
        <w:t xml:space="preserve"> </w:t>
      </w:r>
      <w:r w:rsidRPr="00ED4446">
        <w:rPr>
          <w:rFonts w:cs="Arial"/>
          <w:sz w:val="22"/>
          <w:szCs w:val="22"/>
        </w:rPr>
        <w:t xml:space="preserve">is </w:t>
      </w:r>
      <w:r w:rsidR="000755E3" w:rsidRPr="00ED4446">
        <w:rPr>
          <w:rFonts w:cs="Arial"/>
          <w:sz w:val="22"/>
          <w:szCs w:val="22"/>
        </w:rPr>
        <w:t>h</w:t>
      </w:r>
      <w:r w:rsidR="00DF6B8E" w:rsidRPr="00ED4446">
        <w:rPr>
          <w:rFonts w:cs="Arial"/>
          <w:sz w:val="22"/>
          <w:szCs w:val="22"/>
        </w:rPr>
        <w:t>eavily reliant on grants. The service charges are not making meaningful contribution to the revenue</w:t>
      </w:r>
      <w:r w:rsidR="0094276D" w:rsidRPr="00ED4446">
        <w:rPr>
          <w:rFonts w:cs="Arial"/>
          <w:sz w:val="22"/>
          <w:szCs w:val="22"/>
        </w:rPr>
        <w:t xml:space="preserve"> in the short-term</w:t>
      </w:r>
      <w:r w:rsidR="00837F35" w:rsidRPr="00ED4446">
        <w:rPr>
          <w:rFonts w:cs="Arial"/>
          <w:sz w:val="22"/>
          <w:szCs w:val="22"/>
        </w:rPr>
        <w:t xml:space="preserve">, which warranted the </w:t>
      </w:r>
      <w:r w:rsidR="00710856" w:rsidRPr="00ED4446">
        <w:rPr>
          <w:rFonts w:cs="Arial"/>
          <w:sz w:val="22"/>
          <w:szCs w:val="22"/>
        </w:rPr>
        <w:t>proposal of new</w:t>
      </w:r>
      <w:r w:rsidR="00837F35" w:rsidRPr="00ED4446">
        <w:rPr>
          <w:rFonts w:cs="Arial"/>
          <w:sz w:val="22"/>
          <w:szCs w:val="22"/>
        </w:rPr>
        <w:t xml:space="preserve"> tariffs</w:t>
      </w:r>
      <w:r w:rsidRPr="00ED4446">
        <w:rPr>
          <w:rFonts w:cs="Arial"/>
          <w:sz w:val="22"/>
          <w:szCs w:val="22"/>
        </w:rPr>
        <w:t>.</w:t>
      </w:r>
      <w:r w:rsidR="0094276D" w:rsidRPr="00ED4446">
        <w:rPr>
          <w:rFonts w:cs="Arial"/>
          <w:sz w:val="22"/>
          <w:szCs w:val="22"/>
        </w:rPr>
        <w:t xml:space="preserve"> This should improve in the medium term.</w:t>
      </w:r>
      <w:r w:rsidR="004C5CBA">
        <w:rPr>
          <w:rFonts w:cs="Arial"/>
          <w:sz w:val="22"/>
          <w:szCs w:val="22"/>
        </w:rPr>
        <w:t xml:space="preserve"> Additional revenue from Local municipalities in relation t</w:t>
      </w:r>
      <w:r w:rsidR="005D60B3">
        <w:rPr>
          <w:rFonts w:cs="Arial"/>
          <w:sz w:val="22"/>
          <w:szCs w:val="22"/>
        </w:rPr>
        <w:t>o Fire Services was included in the 2019/20 Budget.</w:t>
      </w:r>
      <w:r w:rsidR="004C5CBA">
        <w:rPr>
          <w:rFonts w:cs="Arial"/>
          <w:sz w:val="22"/>
          <w:szCs w:val="22"/>
        </w:rPr>
        <w:t xml:space="preserve"> </w:t>
      </w:r>
    </w:p>
    <w:p w:rsidR="00ED4446" w:rsidRDefault="00ED4446" w:rsidP="006B215D">
      <w:pPr>
        <w:spacing w:line="276" w:lineRule="auto"/>
        <w:jc w:val="both"/>
        <w:rPr>
          <w:rFonts w:cs="Arial"/>
          <w:sz w:val="22"/>
          <w:szCs w:val="22"/>
        </w:rPr>
        <w:sectPr w:rsidR="00ED4446" w:rsidSect="00B927A3">
          <w:headerReference w:type="default" r:id="rId12"/>
          <w:footerReference w:type="default" r:id="rId13"/>
          <w:pgSz w:w="11907" w:h="16840" w:code="9"/>
          <w:pgMar w:top="1134" w:right="1134" w:bottom="1134" w:left="1134" w:header="720" w:footer="720" w:gutter="0"/>
          <w:cols w:space="720" w:equalWidth="0">
            <w:col w:w="9659"/>
          </w:cols>
          <w:noEndnote/>
          <w:docGrid w:linePitch="360"/>
        </w:sectPr>
      </w:pPr>
    </w:p>
    <w:p w:rsidR="008044CB" w:rsidRPr="00ED4446" w:rsidRDefault="008044CB" w:rsidP="006B215D">
      <w:pPr>
        <w:spacing w:line="276" w:lineRule="auto"/>
        <w:jc w:val="both"/>
        <w:rPr>
          <w:rFonts w:cs="Arial"/>
          <w:sz w:val="22"/>
          <w:szCs w:val="22"/>
        </w:rPr>
      </w:pPr>
      <w:r w:rsidRPr="00ED4446">
        <w:rPr>
          <w:rFonts w:cs="Arial"/>
          <w:sz w:val="22"/>
          <w:szCs w:val="22"/>
        </w:rPr>
        <w:lastRenderedPageBreak/>
        <w:t xml:space="preserve">The following table is a summary of the </w:t>
      </w:r>
      <w:r w:rsidR="00CC2146">
        <w:rPr>
          <w:rFonts w:cs="Arial"/>
          <w:sz w:val="22"/>
          <w:szCs w:val="22"/>
        </w:rPr>
        <w:t>2020/21</w:t>
      </w:r>
      <w:r w:rsidR="00B94303">
        <w:rPr>
          <w:rFonts w:cs="Arial"/>
          <w:sz w:val="22"/>
          <w:szCs w:val="22"/>
        </w:rPr>
        <w:t xml:space="preserve"> </w:t>
      </w:r>
      <w:r w:rsidRPr="00ED4446">
        <w:rPr>
          <w:rFonts w:cs="Arial"/>
          <w:sz w:val="22"/>
          <w:szCs w:val="22"/>
        </w:rPr>
        <w:t>MTREF (classified by main revenue source):</w:t>
      </w:r>
    </w:p>
    <w:p w:rsidR="008044CB" w:rsidRDefault="008044CB" w:rsidP="00A24B6C">
      <w:pPr>
        <w:pStyle w:val="Caption"/>
        <w:tabs>
          <w:tab w:val="left" w:pos="851"/>
        </w:tabs>
        <w:rPr>
          <w:color w:val="984806"/>
          <w:szCs w:val="22"/>
        </w:rPr>
      </w:pPr>
      <w:bookmarkStart w:id="30" w:name="_Toc287342443"/>
      <w:bookmarkStart w:id="31" w:name="_Toc287815456"/>
      <w:bookmarkStart w:id="32" w:name="_Toc356917085"/>
      <w:bookmarkStart w:id="33" w:name="_Toc509209318"/>
      <w:r w:rsidRPr="00DE2254">
        <w:rPr>
          <w:color w:val="984806"/>
          <w:szCs w:val="22"/>
        </w:rPr>
        <w:t xml:space="preserve">Table </w:t>
      </w:r>
      <w:r w:rsidR="001A457F" w:rsidRPr="00DE2254">
        <w:rPr>
          <w:color w:val="984806"/>
          <w:szCs w:val="22"/>
        </w:rPr>
        <w:fldChar w:fldCharType="begin"/>
      </w:r>
      <w:r w:rsidRPr="00DE2254">
        <w:rPr>
          <w:color w:val="984806"/>
          <w:szCs w:val="22"/>
        </w:rPr>
        <w:instrText xml:space="preserve"> SEQ Table \* ARABIC </w:instrText>
      </w:r>
      <w:r w:rsidR="001A457F" w:rsidRPr="00DE2254">
        <w:rPr>
          <w:color w:val="984806"/>
          <w:szCs w:val="22"/>
        </w:rPr>
        <w:fldChar w:fldCharType="separate"/>
      </w:r>
      <w:r w:rsidR="00E262AD" w:rsidRPr="00DE2254">
        <w:rPr>
          <w:noProof/>
          <w:color w:val="984806"/>
          <w:szCs w:val="22"/>
        </w:rPr>
        <w:t>2</w:t>
      </w:r>
      <w:r w:rsidR="001A457F" w:rsidRPr="00DE2254">
        <w:rPr>
          <w:color w:val="984806"/>
          <w:szCs w:val="22"/>
        </w:rPr>
        <w:fldChar w:fldCharType="end"/>
      </w:r>
      <w:r w:rsidR="002111AD" w:rsidRPr="00DE2254">
        <w:rPr>
          <w:color w:val="984806"/>
          <w:szCs w:val="22"/>
        </w:rPr>
        <w:tab/>
      </w:r>
      <w:r w:rsidRPr="00DE2254">
        <w:rPr>
          <w:color w:val="984806"/>
          <w:szCs w:val="22"/>
        </w:rPr>
        <w:t>Summary of revenue classified by main revenue source</w:t>
      </w:r>
      <w:bookmarkEnd w:id="30"/>
      <w:bookmarkEnd w:id="31"/>
      <w:bookmarkEnd w:id="32"/>
      <w:bookmarkEnd w:id="33"/>
    </w:p>
    <w:p w:rsidR="00ED4446" w:rsidRPr="00ED4446" w:rsidRDefault="00ED4446" w:rsidP="00ED4446">
      <w:pPr>
        <w:rPr>
          <w:lang w:val="en-ZA"/>
        </w:rPr>
      </w:pPr>
    </w:p>
    <w:p w:rsidR="00ED4446" w:rsidRDefault="008F6D94" w:rsidP="00736C5B">
      <w:pPr>
        <w:rPr>
          <w:lang w:val="en-ZA"/>
        </w:rPr>
        <w:sectPr w:rsidR="00ED4446" w:rsidSect="00ED4446">
          <w:pgSz w:w="16840" w:h="11907" w:orient="landscape" w:code="9"/>
          <w:pgMar w:top="1134" w:right="1134" w:bottom="1134" w:left="1134" w:header="720" w:footer="720" w:gutter="0"/>
          <w:cols w:space="720" w:equalWidth="0">
            <w:col w:w="9659"/>
          </w:cols>
          <w:noEndnote/>
          <w:docGrid w:linePitch="360"/>
        </w:sectPr>
      </w:pPr>
      <w:r w:rsidRPr="008F6D94">
        <w:drawing>
          <wp:anchor distT="0" distB="0" distL="114300" distR="114300" simplePos="0" relativeHeight="251702272" behindDoc="1" locked="0" layoutInCell="1" allowOverlap="1">
            <wp:simplePos x="0" y="0"/>
            <wp:positionH relativeFrom="column">
              <wp:posOffset>19050</wp:posOffset>
            </wp:positionH>
            <wp:positionV relativeFrom="paragraph">
              <wp:posOffset>0</wp:posOffset>
            </wp:positionV>
            <wp:extent cx="9399270" cy="510540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9399270" cy="5105400"/>
                    </a:xfrm>
                    <a:prstGeom prst="rect">
                      <a:avLst/>
                    </a:prstGeom>
                    <a:noFill/>
                    <a:ln w="9525">
                      <a:noFill/>
                      <a:miter lim="800000"/>
                      <a:headEnd/>
                      <a:tailEnd/>
                    </a:ln>
                  </pic:spPr>
                </pic:pic>
              </a:graphicData>
            </a:graphic>
          </wp:anchor>
        </w:drawing>
      </w:r>
    </w:p>
    <w:p w:rsidR="008044CB" w:rsidRPr="00571784" w:rsidRDefault="008044CB" w:rsidP="006B215D">
      <w:pPr>
        <w:spacing w:line="276" w:lineRule="auto"/>
        <w:jc w:val="both"/>
        <w:rPr>
          <w:rFonts w:cs="Arial"/>
          <w:sz w:val="22"/>
          <w:szCs w:val="22"/>
        </w:rPr>
      </w:pPr>
      <w:r w:rsidRPr="00571784">
        <w:rPr>
          <w:rFonts w:cs="Arial"/>
          <w:sz w:val="22"/>
          <w:szCs w:val="22"/>
        </w:rPr>
        <w:lastRenderedPageBreak/>
        <w:t>In line with the formats prescribed by the Municipal Budget and Reporting Regulations, capital transfers and contributions are excluded from the operating statement, as inclusion of these revenue sources would distort the calculation of the operating surplus/deficit.</w:t>
      </w:r>
    </w:p>
    <w:p w:rsidR="00ED4446" w:rsidRPr="00571784" w:rsidRDefault="00ED4446" w:rsidP="00EE6AF0">
      <w:pPr>
        <w:rPr>
          <w:sz w:val="22"/>
          <w:szCs w:val="22"/>
          <w:lang w:val="en-ZA"/>
        </w:rPr>
      </w:pPr>
    </w:p>
    <w:p w:rsidR="00EE6AF0" w:rsidRPr="00571784" w:rsidRDefault="00EE6AF0" w:rsidP="00EE6AF0">
      <w:pPr>
        <w:pStyle w:val="Caption"/>
        <w:tabs>
          <w:tab w:val="left" w:pos="851"/>
        </w:tabs>
        <w:rPr>
          <w:color w:val="984806"/>
          <w:szCs w:val="22"/>
        </w:rPr>
      </w:pPr>
      <w:bookmarkStart w:id="34" w:name="_Toc509209319"/>
      <w:r w:rsidRPr="00DE2254">
        <w:rPr>
          <w:color w:val="984806"/>
          <w:szCs w:val="22"/>
        </w:rPr>
        <w:t>Fig 1: Revenue by main revenue source</w:t>
      </w:r>
      <w:bookmarkEnd w:id="34"/>
    </w:p>
    <w:p w:rsidR="008062B2" w:rsidRPr="008062B2" w:rsidRDefault="008062B2" w:rsidP="008062B2">
      <w:pPr>
        <w:jc w:val="center"/>
        <w:rPr>
          <w:b/>
          <w:lang w:val="en-ZA"/>
        </w:rPr>
      </w:pPr>
      <w:r w:rsidRPr="008062B2">
        <w:rPr>
          <w:b/>
          <w:lang w:val="en-ZA"/>
        </w:rPr>
        <w:t>REVENUE BY SOURCE</w:t>
      </w:r>
    </w:p>
    <w:p w:rsidR="00721B08" w:rsidRPr="00721B08" w:rsidRDefault="008F6D94" w:rsidP="008062B2">
      <w:pPr>
        <w:jc w:val="center"/>
        <w:rPr>
          <w:lang w:val="en-ZA"/>
        </w:rPr>
      </w:pPr>
      <w:r>
        <w:rPr>
          <w:noProof/>
        </w:rPr>
        <w:drawing>
          <wp:inline distT="0" distB="0" distL="0" distR="0">
            <wp:extent cx="6012180" cy="3268980"/>
            <wp:effectExtent l="19050" t="0" r="762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012180" cy="3268980"/>
                    </a:xfrm>
                    <a:prstGeom prst="rect">
                      <a:avLst/>
                    </a:prstGeom>
                    <a:noFill/>
                  </pic:spPr>
                </pic:pic>
              </a:graphicData>
            </a:graphic>
          </wp:inline>
        </w:drawing>
      </w:r>
    </w:p>
    <w:p w:rsidR="0012676B" w:rsidRDefault="0012676B" w:rsidP="003825AA">
      <w:pPr>
        <w:rPr>
          <w:color w:val="984806"/>
          <w:sz w:val="20"/>
          <w:szCs w:val="20"/>
        </w:rPr>
      </w:pPr>
    </w:p>
    <w:p w:rsidR="005421C6" w:rsidRDefault="005421C6" w:rsidP="003825AA">
      <w:pPr>
        <w:rPr>
          <w:color w:val="984806"/>
          <w:sz w:val="20"/>
          <w:szCs w:val="20"/>
        </w:rPr>
      </w:pPr>
      <w:r w:rsidRPr="0069041A">
        <w:rPr>
          <w:color w:val="984806"/>
          <w:sz w:val="20"/>
          <w:szCs w:val="20"/>
        </w:rPr>
        <w:t>Table 3</w:t>
      </w:r>
      <w:r w:rsidR="009C3390" w:rsidRPr="0069041A">
        <w:rPr>
          <w:color w:val="984806"/>
          <w:sz w:val="20"/>
          <w:szCs w:val="20"/>
        </w:rPr>
        <w:tab/>
      </w:r>
      <w:r w:rsidR="00571784">
        <w:rPr>
          <w:color w:val="984806"/>
          <w:sz w:val="20"/>
          <w:szCs w:val="20"/>
        </w:rPr>
        <w:t>R</w:t>
      </w:r>
      <w:r w:rsidRPr="00837F35">
        <w:rPr>
          <w:color w:val="984806"/>
          <w:sz w:val="20"/>
          <w:szCs w:val="20"/>
        </w:rPr>
        <w:t>evenue by main revenue source</w:t>
      </w:r>
    </w:p>
    <w:p w:rsidR="00C4385C" w:rsidRDefault="00C4385C" w:rsidP="003825AA">
      <w:pPr>
        <w:rPr>
          <w:color w:val="984806"/>
          <w:sz w:val="20"/>
          <w:szCs w:val="20"/>
        </w:rPr>
      </w:pPr>
    </w:p>
    <w:p w:rsidR="0069041A" w:rsidRDefault="008F6D94" w:rsidP="003825AA">
      <w:pPr>
        <w:rPr>
          <w:color w:val="984806"/>
          <w:sz w:val="20"/>
          <w:szCs w:val="20"/>
        </w:rPr>
      </w:pPr>
      <w:r w:rsidRPr="008F6D94">
        <w:rPr>
          <w:szCs w:val="20"/>
        </w:rPr>
        <w:drawing>
          <wp:inline distT="0" distB="0" distL="0" distR="0">
            <wp:extent cx="6118274" cy="291465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120765" cy="2915837"/>
                    </a:xfrm>
                    <a:prstGeom prst="rect">
                      <a:avLst/>
                    </a:prstGeom>
                    <a:noFill/>
                    <a:ln w="9525">
                      <a:noFill/>
                      <a:miter lim="800000"/>
                      <a:headEnd/>
                      <a:tailEnd/>
                    </a:ln>
                  </pic:spPr>
                </pic:pic>
              </a:graphicData>
            </a:graphic>
          </wp:inline>
        </w:drawing>
      </w:r>
    </w:p>
    <w:p w:rsidR="007A78F0" w:rsidRPr="000755E3" w:rsidRDefault="007A78F0" w:rsidP="003825AA">
      <w:pPr>
        <w:rPr>
          <w:color w:val="984806"/>
          <w:sz w:val="20"/>
          <w:szCs w:val="20"/>
        </w:rPr>
      </w:pPr>
    </w:p>
    <w:p w:rsidR="00571784" w:rsidRDefault="006E69AA" w:rsidP="009C3390">
      <w:pPr>
        <w:spacing w:line="276" w:lineRule="auto"/>
        <w:jc w:val="both"/>
        <w:rPr>
          <w:rFonts w:cs="Arial"/>
          <w:sz w:val="22"/>
          <w:szCs w:val="22"/>
        </w:rPr>
      </w:pPr>
      <w:r>
        <w:rPr>
          <w:rFonts w:cs="Arial"/>
          <w:sz w:val="22"/>
          <w:szCs w:val="22"/>
        </w:rPr>
        <w:t>Total Revenue in</w:t>
      </w:r>
      <w:r w:rsidR="00571784">
        <w:rPr>
          <w:rFonts w:cs="Arial"/>
          <w:sz w:val="22"/>
          <w:szCs w:val="22"/>
        </w:rPr>
        <w:t>creas</w:t>
      </w:r>
      <w:r w:rsidR="008F6D94">
        <w:rPr>
          <w:rFonts w:cs="Arial"/>
          <w:sz w:val="22"/>
          <w:szCs w:val="22"/>
        </w:rPr>
        <w:t>ed from R805 million in the 2020/21</w:t>
      </w:r>
      <w:r w:rsidR="00307B88">
        <w:rPr>
          <w:rFonts w:cs="Arial"/>
          <w:sz w:val="22"/>
          <w:szCs w:val="22"/>
        </w:rPr>
        <w:t xml:space="preserve"> </w:t>
      </w:r>
      <w:r w:rsidR="008F6D94">
        <w:rPr>
          <w:rFonts w:cs="Arial"/>
          <w:sz w:val="22"/>
          <w:szCs w:val="22"/>
        </w:rPr>
        <w:t>Draft</w:t>
      </w:r>
      <w:r w:rsidR="00307B88">
        <w:rPr>
          <w:rFonts w:cs="Arial"/>
          <w:sz w:val="22"/>
          <w:szCs w:val="22"/>
        </w:rPr>
        <w:t xml:space="preserve"> Bu</w:t>
      </w:r>
      <w:r w:rsidR="008F6D94">
        <w:rPr>
          <w:rFonts w:cs="Arial"/>
          <w:sz w:val="22"/>
          <w:szCs w:val="22"/>
        </w:rPr>
        <w:t>dget to R842</w:t>
      </w:r>
      <w:r w:rsidR="00307B88">
        <w:rPr>
          <w:rFonts w:cs="Arial"/>
          <w:sz w:val="22"/>
          <w:szCs w:val="22"/>
        </w:rPr>
        <w:t xml:space="preserve"> million in the 2020/21</w:t>
      </w:r>
      <w:r w:rsidR="008F6D94">
        <w:rPr>
          <w:rFonts w:cs="Arial"/>
          <w:sz w:val="22"/>
          <w:szCs w:val="22"/>
        </w:rPr>
        <w:t xml:space="preserve"> Final</w:t>
      </w:r>
      <w:r w:rsidR="00571784">
        <w:rPr>
          <w:rFonts w:cs="Arial"/>
          <w:sz w:val="22"/>
          <w:szCs w:val="22"/>
        </w:rPr>
        <w:t xml:space="preserve"> Budget. </w:t>
      </w:r>
    </w:p>
    <w:p w:rsidR="00571784" w:rsidRDefault="00571784" w:rsidP="009C3390">
      <w:pPr>
        <w:spacing w:line="276" w:lineRule="auto"/>
        <w:jc w:val="both"/>
        <w:rPr>
          <w:rFonts w:cs="Arial"/>
          <w:sz w:val="22"/>
          <w:szCs w:val="22"/>
        </w:rPr>
      </w:pPr>
    </w:p>
    <w:p w:rsidR="008F6D94" w:rsidRDefault="008F6D94" w:rsidP="008F6D94">
      <w:pPr>
        <w:spacing w:line="276" w:lineRule="auto"/>
        <w:jc w:val="both"/>
        <w:rPr>
          <w:rFonts w:cs="Arial"/>
          <w:sz w:val="22"/>
          <w:szCs w:val="22"/>
        </w:rPr>
      </w:pPr>
      <w:r>
        <w:rPr>
          <w:rFonts w:cs="Arial"/>
          <w:sz w:val="22"/>
          <w:szCs w:val="22"/>
        </w:rPr>
        <w:t>The 5</w:t>
      </w:r>
      <w:r w:rsidR="006E69AA">
        <w:rPr>
          <w:rFonts w:cs="Arial"/>
          <w:sz w:val="22"/>
          <w:szCs w:val="22"/>
        </w:rPr>
        <w:t>% in</w:t>
      </w:r>
      <w:r w:rsidR="00571784">
        <w:rPr>
          <w:rFonts w:cs="Arial"/>
          <w:sz w:val="22"/>
          <w:szCs w:val="22"/>
        </w:rPr>
        <w:t>cre</w:t>
      </w:r>
      <w:r w:rsidR="006E69AA">
        <w:rPr>
          <w:rFonts w:cs="Arial"/>
          <w:sz w:val="22"/>
          <w:szCs w:val="22"/>
        </w:rPr>
        <w:t xml:space="preserve">ase is largely </w:t>
      </w:r>
      <w:r>
        <w:rPr>
          <w:rFonts w:cs="Arial"/>
          <w:sz w:val="22"/>
          <w:szCs w:val="22"/>
        </w:rPr>
        <w:t>as result of an increase in inclusion of the Disaster Relief Grant and Department of Roads and Transport Grant.</w:t>
      </w:r>
    </w:p>
    <w:p w:rsidR="009C3390" w:rsidRPr="00571784" w:rsidRDefault="008044CB" w:rsidP="008F6D94">
      <w:pPr>
        <w:spacing w:line="276" w:lineRule="auto"/>
        <w:jc w:val="both"/>
        <w:rPr>
          <w:rFonts w:cs="Arial"/>
          <w:sz w:val="22"/>
          <w:szCs w:val="22"/>
        </w:rPr>
      </w:pPr>
      <w:r w:rsidRPr="00112F1D">
        <w:rPr>
          <w:rFonts w:cs="Arial"/>
          <w:sz w:val="22"/>
          <w:szCs w:val="22"/>
        </w:rPr>
        <w:lastRenderedPageBreak/>
        <w:t>The following table gives a breakdown of the various operating grants and subsidies allocated to the municipality over the medium term:</w:t>
      </w:r>
      <w:bookmarkStart w:id="35" w:name="_Toc287342445"/>
      <w:bookmarkStart w:id="36" w:name="_Toc287815457"/>
    </w:p>
    <w:p w:rsidR="001C6CAF" w:rsidRPr="00571784" w:rsidRDefault="008062B2" w:rsidP="008062B2">
      <w:pPr>
        <w:spacing w:line="276" w:lineRule="auto"/>
        <w:rPr>
          <w:color w:val="984806"/>
          <w:sz w:val="22"/>
          <w:szCs w:val="22"/>
        </w:rPr>
      </w:pPr>
      <w:bookmarkStart w:id="37" w:name="_Toc356917087"/>
      <w:r w:rsidRPr="00571784">
        <w:rPr>
          <w:color w:val="984806"/>
          <w:sz w:val="22"/>
          <w:szCs w:val="22"/>
        </w:rPr>
        <w:t>Table 4</w:t>
      </w:r>
      <w:r w:rsidRPr="00571784">
        <w:rPr>
          <w:color w:val="984806"/>
          <w:sz w:val="22"/>
          <w:szCs w:val="22"/>
        </w:rPr>
        <w:tab/>
        <w:t xml:space="preserve">Operating </w:t>
      </w:r>
      <w:r w:rsidR="005B2EC0" w:rsidRPr="00571784">
        <w:rPr>
          <w:color w:val="984806"/>
          <w:sz w:val="22"/>
          <w:szCs w:val="22"/>
        </w:rPr>
        <w:t>Transfers and Grant Receipts</w:t>
      </w:r>
      <w:bookmarkEnd w:id="35"/>
      <w:bookmarkEnd w:id="36"/>
      <w:bookmarkEnd w:id="37"/>
    </w:p>
    <w:p w:rsidR="00C4385C" w:rsidRDefault="008F6D94" w:rsidP="008062B2">
      <w:pPr>
        <w:spacing w:line="276" w:lineRule="auto"/>
        <w:rPr>
          <w:color w:val="984806"/>
          <w:sz w:val="20"/>
          <w:szCs w:val="20"/>
        </w:rPr>
      </w:pPr>
      <w:r w:rsidRPr="008F6D94">
        <w:rPr>
          <w:szCs w:val="20"/>
        </w:rPr>
        <w:drawing>
          <wp:inline distT="0" distB="0" distL="0" distR="0">
            <wp:extent cx="6511290" cy="8355330"/>
            <wp:effectExtent l="19050" t="0" r="381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6513317" cy="8357931"/>
                    </a:xfrm>
                    <a:prstGeom prst="rect">
                      <a:avLst/>
                    </a:prstGeom>
                    <a:noFill/>
                    <a:ln w="9525">
                      <a:noFill/>
                      <a:miter lim="800000"/>
                      <a:headEnd/>
                      <a:tailEnd/>
                    </a:ln>
                  </pic:spPr>
                </pic:pic>
              </a:graphicData>
            </a:graphic>
          </wp:inline>
        </w:drawing>
      </w:r>
    </w:p>
    <w:p w:rsidR="0012676B" w:rsidRPr="005B2EC0" w:rsidRDefault="0012676B" w:rsidP="008062B2">
      <w:pPr>
        <w:spacing w:line="276" w:lineRule="auto"/>
        <w:rPr>
          <w:color w:val="0000CC"/>
          <w:sz w:val="20"/>
          <w:szCs w:val="20"/>
        </w:rPr>
      </w:pPr>
    </w:p>
    <w:p w:rsidR="008044CB" w:rsidRPr="004062C3" w:rsidRDefault="008044CB" w:rsidP="001C6CAF">
      <w:pPr>
        <w:pStyle w:val="Caption"/>
        <w:tabs>
          <w:tab w:val="left" w:pos="851"/>
        </w:tabs>
        <w:rPr>
          <w:rFonts w:cs="Arial"/>
          <w:b w:val="0"/>
          <w:szCs w:val="22"/>
        </w:rPr>
      </w:pPr>
      <w:bookmarkStart w:id="38" w:name="_Toc509209320"/>
      <w:r w:rsidRPr="004062C3">
        <w:rPr>
          <w:rFonts w:cs="Arial"/>
          <w:b w:val="0"/>
          <w:szCs w:val="22"/>
        </w:rPr>
        <w:lastRenderedPageBreak/>
        <w:t>Tariff-setting is a pivotal and strategic part of the compilation of any budget. When rates, tariffs and other charges were revised, local economic conditions, input costs</w:t>
      </w:r>
      <w:r w:rsidR="00A575D9" w:rsidRPr="004062C3">
        <w:rPr>
          <w:rFonts w:cs="Arial"/>
          <w:b w:val="0"/>
          <w:szCs w:val="22"/>
        </w:rPr>
        <w:t>, Value added tax increase</w:t>
      </w:r>
      <w:r w:rsidRPr="004062C3">
        <w:rPr>
          <w:rFonts w:cs="Arial"/>
          <w:b w:val="0"/>
          <w:szCs w:val="22"/>
        </w:rPr>
        <w:t xml:space="preserve"> and the affordability of services were taken into account to ensure the financial sustainability of the </w:t>
      </w:r>
      <w:r w:rsidR="00A52B13" w:rsidRPr="004062C3">
        <w:rPr>
          <w:rFonts w:cs="Arial"/>
          <w:b w:val="0"/>
          <w:szCs w:val="22"/>
        </w:rPr>
        <w:t>municipality</w:t>
      </w:r>
      <w:r w:rsidRPr="004062C3">
        <w:rPr>
          <w:rFonts w:cs="Arial"/>
          <w:b w:val="0"/>
          <w:szCs w:val="22"/>
        </w:rPr>
        <w:t>.</w:t>
      </w:r>
      <w:bookmarkEnd w:id="38"/>
    </w:p>
    <w:p w:rsidR="008044CB" w:rsidRPr="004062C3" w:rsidRDefault="008044CB" w:rsidP="006B215D">
      <w:pPr>
        <w:spacing w:line="276" w:lineRule="auto"/>
        <w:jc w:val="both"/>
        <w:rPr>
          <w:rFonts w:cs="Arial"/>
          <w:sz w:val="22"/>
          <w:szCs w:val="22"/>
        </w:rPr>
      </w:pPr>
      <w:r w:rsidRPr="004062C3">
        <w:rPr>
          <w:rFonts w:cs="Arial"/>
          <w:sz w:val="22"/>
          <w:szCs w:val="22"/>
        </w:rPr>
        <w:t xml:space="preserve">National Treasury continues to encourage municipalities to keep increases in rates, tariffs and other charges as low as possible. Municipalities must justify in their budget documentation </w:t>
      </w:r>
      <w:r w:rsidR="002337B5" w:rsidRPr="004062C3">
        <w:rPr>
          <w:rFonts w:cs="Arial"/>
          <w:sz w:val="22"/>
          <w:szCs w:val="22"/>
        </w:rPr>
        <w:t>all increases in excess of the 6</w:t>
      </w:r>
      <w:r w:rsidR="005211AB" w:rsidRPr="004062C3">
        <w:rPr>
          <w:rFonts w:cs="Arial"/>
          <w:sz w:val="22"/>
          <w:szCs w:val="22"/>
        </w:rPr>
        <w:t>.45</w:t>
      </w:r>
      <w:r w:rsidR="00B130C7" w:rsidRPr="004062C3">
        <w:rPr>
          <w:rFonts w:cs="Arial"/>
          <w:sz w:val="22"/>
          <w:szCs w:val="22"/>
        </w:rPr>
        <w:t> </w:t>
      </w:r>
      <w:r w:rsidR="005211AB" w:rsidRPr="004062C3">
        <w:rPr>
          <w:rFonts w:cs="Arial"/>
          <w:sz w:val="22"/>
          <w:szCs w:val="22"/>
        </w:rPr>
        <w:t>percent</w:t>
      </w:r>
      <w:r w:rsidRPr="004062C3">
        <w:rPr>
          <w:rFonts w:cs="Arial"/>
          <w:sz w:val="22"/>
          <w:szCs w:val="22"/>
        </w:rPr>
        <w:t>. Excessive increases are likely to be counterproductive, resulting in higher levels of non-payment.</w:t>
      </w:r>
      <w:r w:rsidR="005864ED" w:rsidRPr="004062C3">
        <w:rPr>
          <w:rFonts w:cs="Arial"/>
          <w:sz w:val="22"/>
          <w:szCs w:val="22"/>
        </w:rPr>
        <w:t xml:space="preserve"> </w:t>
      </w:r>
      <w:r w:rsidR="005D60B3">
        <w:rPr>
          <w:rFonts w:cs="Arial"/>
          <w:sz w:val="22"/>
          <w:szCs w:val="22"/>
        </w:rPr>
        <w:t xml:space="preserve">The municipality decided against using a blanket approach in setting tariffs. </w:t>
      </w:r>
      <w:r w:rsidR="005864ED" w:rsidRPr="004062C3">
        <w:rPr>
          <w:rFonts w:cs="Arial"/>
          <w:sz w:val="22"/>
          <w:szCs w:val="22"/>
        </w:rPr>
        <w:t xml:space="preserve">The basic charges </w:t>
      </w:r>
      <w:r w:rsidR="005211AB" w:rsidRPr="004062C3">
        <w:rPr>
          <w:rFonts w:cs="Arial"/>
          <w:sz w:val="22"/>
          <w:szCs w:val="22"/>
        </w:rPr>
        <w:t xml:space="preserve">and consumption charges </w:t>
      </w:r>
      <w:r w:rsidR="00A575D9" w:rsidRPr="004062C3">
        <w:rPr>
          <w:rFonts w:cs="Arial"/>
          <w:sz w:val="22"/>
          <w:szCs w:val="22"/>
        </w:rPr>
        <w:t xml:space="preserve">on conventional meters and that on pre-paid </w:t>
      </w:r>
      <w:r w:rsidR="00F857AB">
        <w:rPr>
          <w:rFonts w:cs="Arial"/>
          <w:sz w:val="22"/>
          <w:szCs w:val="22"/>
        </w:rPr>
        <w:t>meters were increased in line with the costs associated with the service</w:t>
      </w:r>
      <w:r w:rsidR="005211AB" w:rsidRPr="004062C3">
        <w:rPr>
          <w:rFonts w:cs="Arial"/>
          <w:sz w:val="22"/>
          <w:szCs w:val="22"/>
        </w:rPr>
        <w:t>.</w:t>
      </w:r>
      <w:r w:rsidR="005D60B3">
        <w:rPr>
          <w:rFonts w:cs="Arial"/>
          <w:sz w:val="22"/>
          <w:szCs w:val="22"/>
        </w:rPr>
        <w:t xml:space="preserve"> The increase on average amounts to an increase of 6.45 percent. Some services where therefore more affected than others.</w:t>
      </w:r>
    </w:p>
    <w:p w:rsidR="008044CB" w:rsidRPr="004062C3" w:rsidRDefault="008044CB" w:rsidP="006B215D">
      <w:pPr>
        <w:spacing w:line="276" w:lineRule="auto"/>
        <w:ind w:left="993"/>
        <w:jc w:val="both"/>
        <w:rPr>
          <w:rFonts w:cs="Arial"/>
          <w:sz w:val="22"/>
          <w:szCs w:val="22"/>
        </w:rPr>
      </w:pPr>
    </w:p>
    <w:p w:rsidR="005D60B3" w:rsidRDefault="008044CB" w:rsidP="006B215D">
      <w:pPr>
        <w:spacing w:line="276" w:lineRule="auto"/>
        <w:jc w:val="both"/>
        <w:rPr>
          <w:rFonts w:cs="Arial"/>
          <w:sz w:val="22"/>
          <w:szCs w:val="22"/>
        </w:rPr>
      </w:pPr>
      <w:r w:rsidRPr="004062C3">
        <w:rPr>
          <w:rFonts w:cs="Arial"/>
          <w:sz w:val="22"/>
          <w:szCs w:val="22"/>
        </w:rPr>
        <w:t>It must also be appreciated that the consumer price index, as measured by CPI, is not a good measure of the cost increases of goods and services relevant to municipalities.</w:t>
      </w:r>
      <w:r w:rsidR="00F857AB">
        <w:rPr>
          <w:rFonts w:cs="Arial"/>
          <w:sz w:val="22"/>
          <w:szCs w:val="22"/>
        </w:rPr>
        <w:t xml:space="preserve"> </w:t>
      </w:r>
    </w:p>
    <w:p w:rsidR="008044CB" w:rsidRDefault="008044CB" w:rsidP="006B215D">
      <w:pPr>
        <w:spacing w:line="276" w:lineRule="auto"/>
        <w:jc w:val="both"/>
        <w:rPr>
          <w:rFonts w:cs="Arial"/>
          <w:sz w:val="22"/>
          <w:szCs w:val="22"/>
        </w:rPr>
      </w:pPr>
      <w:r w:rsidRPr="004062C3">
        <w:rPr>
          <w:rFonts w:cs="Arial"/>
          <w:sz w:val="22"/>
          <w:szCs w:val="22"/>
        </w:rPr>
        <w:t>The basket of goods and services utilised for the calculation of the CPI consist of items such as food, petrol and medical services, whereas the cost drivers of a municipality are informed by items such as the cost of remuneration, bulk purchases of water, petrol, diesel, chemicals, cement etc. The current challenge</w:t>
      </w:r>
      <w:r w:rsidR="004062C3">
        <w:rPr>
          <w:rFonts w:cs="Arial"/>
          <w:sz w:val="22"/>
          <w:szCs w:val="22"/>
        </w:rPr>
        <w:t>s</w:t>
      </w:r>
      <w:r w:rsidRPr="004062C3">
        <w:rPr>
          <w:rFonts w:cs="Arial"/>
          <w:sz w:val="22"/>
          <w:szCs w:val="22"/>
        </w:rPr>
        <w:t xml:space="preserve"> facing the </w:t>
      </w:r>
      <w:r w:rsidR="00A52B13" w:rsidRPr="004062C3">
        <w:rPr>
          <w:rFonts w:cs="Arial"/>
          <w:sz w:val="22"/>
          <w:szCs w:val="22"/>
        </w:rPr>
        <w:t>Municipality</w:t>
      </w:r>
      <w:r w:rsidRPr="004062C3">
        <w:rPr>
          <w:rFonts w:cs="Arial"/>
          <w:sz w:val="22"/>
          <w:szCs w:val="22"/>
        </w:rPr>
        <w:t xml:space="preserve"> is managing the gap between cost drivers and tariffs levied, as any shortfall must be made up by either operational efficiency gains or service level reductions. </w:t>
      </w:r>
      <w:bookmarkStart w:id="39" w:name="_Toc286034099"/>
      <w:bookmarkStart w:id="40" w:name="_Toc286034690"/>
      <w:bookmarkStart w:id="41" w:name="_Toc286041436"/>
      <w:bookmarkStart w:id="42" w:name="_Toc286041505"/>
      <w:bookmarkStart w:id="43" w:name="_Toc286117315"/>
    </w:p>
    <w:p w:rsidR="002D392B" w:rsidRDefault="002D392B" w:rsidP="006B215D">
      <w:pPr>
        <w:spacing w:line="276" w:lineRule="auto"/>
        <w:jc w:val="both"/>
        <w:rPr>
          <w:rFonts w:cs="Arial"/>
          <w:sz w:val="20"/>
          <w:szCs w:val="20"/>
        </w:rPr>
      </w:pPr>
    </w:p>
    <w:p w:rsidR="008044CB" w:rsidRPr="00202908" w:rsidRDefault="008044CB" w:rsidP="00A46A8E">
      <w:pPr>
        <w:pStyle w:val="Heading2"/>
        <w:ind w:left="567" w:hanging="567"/>
        <w:rPr>
          <w:color w:val="984806"/>
          <w:szCs w:val="24"/>
        </w:rPr>
      </w:pPr>
      <w:bookmarkStart w:id="44" w:name="_Toc287342526"/>
      <w:bookmarkStart w:id="45" w:name="_Toc287797001"/>
      <w:bookmarkStart w:id="46" w:name="_Toc3962565"/>
      <w:r w:rsidRPr="00202908">
        <w:rPr>
          <w:color w:val="984806"/>
          <w:szCs w:val="24"/>
        </w:rPr>
        <w:t>Operating Expenditure Framework</w:t>
      </w:r>
      <w:bookmarkEnd w:id="39"/>
      <w:bookmarkEnd w:id="40"/>
      <w:bookmarkEnd w:id="41"/>
      <w:bookmarkEnd w:id="42"/>
      <w:bookmarkEnd w:id="43"/>
      <w:bookmarkEnd w:id="44"/>
      <w:bookmarkEnd w:id="45"/>
      <w:bookmarkEnd w:id="46"/>
    </w:p>
    <w:p w:rsidR="008044CB" w:rsidRPr="006B215D" w:rsidRDefault="008044CB" w:rsidP="00C373F4">
      <w:pPr>
        <w:pStyle w:val="Heading2"/>
        <w:numPr>
          <w:ilvl w:val="0"/>
          <w:numId w:val="0"/>
        </w:numPr>
        <w:spacing w:line="276" w:lineRule="auto"/>
        <w:ind w:left="709"/>
        <w:rPr>
          <w:rFonts w:cs="Arial"/>
          <w:b w:val="0"/>
          <w:color w:val="000060"/>
          <w:sz w:val="20"/>
        </w:rPr>
      </w:pPr>
    </w:p>
    <w:p w:rsidR="008044CB" w:rsidRPr="004062C3" w:rsidRDefault="008044CB" w:rsidP="006B215D">
      <w:pPr>
        <w:spacing w:line="276" w:lineRule="auto"/>
        <w:jc w:val="both"/>
        <w:rPr>
          <w:rFonts w:cs="Arial"/>
          <w:sz w:val="22"/>
          <w:szCs w:val="22"/>
        </w:rPr>
      </w:pPr>
      <w:r w:rsidRPr="004062C3">
        <w:rPr>
          <w:rFonts w:cs="Arial"/>
          <w:sz w:val="22"/>
          <w:szCs w:val="22"/>
        </w:rPr>
        <w:t xml:space="preserve">The </w:t>
      </w:r>
      <w:r w:rsidR="00A52B13" w:rsidRPr="004062C3">
        <w:rPr>
          <w:rFonts w:cs="Arial"/>
          <w:sz w:val="22"/>
          <w:szCs w:val="22"/>
        </w:rPr>
        <w:t>Municipality</w:t>
      </w:r>
      <w:r w:rsidRPr="004062C3">
        <w:rPr>
          <w:rFonts w:cs="Arial"/>
          <w:sz w:val="22"/>
          <w:szCs w:val="22"/>
        </w:rPr>
        <w:t xml:space="preserve">’s expenditure framework for the </w:t>
      </w:r>
      <w:r w:rsidR="00680393">
        <w:rPr>
          <w:rFonts w:cs="Arial"/>
          <w:sz w:val="22"/>
          <w:szCs w:val="22"/>
        </w:rPr>
        <w:t>2020/21</w:t>
      </w:r>
      <w:r w:rsidR="002D392B">
        <w:rPr>
          <w:rFonts w:cs="Arial"/>
          <w:sz w:val="22"/>
          <w:szCs w:val="22"/>
        </w:rPr>
        <w:t xml:space="preserve"> </w:t>
      </w:r>
      <w:r w:rsidRPr="004062C3">
        <w:rPr>
          <w:rFonts w:cs="Arial"/>
          <w:sz w:val="22"/>
          <w:szCs w:val="22"/>
        </w:rPr>
        <w:t>budget and MTREF is informed by the following:</w:t>
      </w:r>
    </w:p>
    <w:p w:rsidR="008044CB" w:rsidRPr="004062C3" w:rsidRDefault="008044CB" w:rsidP="006B215D">
      <w:pPr>
        <w:spacing w:line="276" w:lineRule="auto"/>
        <w:jc w:val="both"/>
        <w:rPr>
          <w:rFonts w:cs="Arial"/>
          <w:sz w:val="22"/>
          <w:szCs w:val="22"/>
        </w:rPr>
      </w:pPr>
    </w:p>
    <w:p w:rsidR="008044CB" w:rsidRPr="004062C3" w:rsidRDefault="008044CB"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4062C3">
        <w:rPr>
          <w:rFonts w:cs="Arial"/>
          <w:sz w:val="22"/>
          <w:szCs w:val="22"/>
        </w:rPr>
        <w:t>The asset renewal strategy and the repairs and maintenance plan;</w:t>
      </w:r>
    </w:p>
    <w:p w:rsidR="008044CB" w:rsidRPr="004062C3" w:rsidRDefault="008044CB"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4062C3">
        <w:rPr>
          <w:rFonts w:cs="Arial"/>
          <w:sz w:val="22"/>
          <w:szCs w:val="22"/>
        </w:rPr>
        <w:t>Balanced budget constraint (operating expenditure should not exceed operating revenue) unless there are existing uncommitted cash-backed reserves to fund any deficit;</w:t>
      </w:r>
    </w:p>
    <w:p w:rsidR="008044CB" w:rsidRPr="004062C3" w:rsidRDefault="008044CB"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4062C3">
        <w:rPr>
          <w:rFonts w:cs="Arial"/>
          <w:sz w:val="22"/>
          <w:szCs w:val="22"/>
        </w:rPr>
        <w:t>Funding of the budget over the medium-term as informed by Section 18 and 19 of the MFMA;</w:t>
      </w:r>
    </w:p>
    <w:p w:rsidR="008044CB" w:rsidRPr="004062C3" w:rsidRDefault="008044CB"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4062C3">
        <w:rPr>
          <w:rFonts w:cs="Arial"/>
          <w:sz w:val="22"/>
          <w:szCs w:val="22"/>
        </w:rPr>
        <w:t>The capital programme is aligned to the asset renewal strategy and backlog eradication plan;</w:t>
      </w:r>
    </w:p>
    <w:p w:rsidR="006C217D" w:rsidRPr="004062C3" w:rsidRDefault="006C217D" w:rsidP="006B215D">
      <w:pPr>
        <w:spacing w:line="276" w:lineRule="auto"/>
        <w:jc w:val="both"/>
        <w:rPr>
          <w:rFonts w:cs="Arial"/>
          <w:sz w:val="22"/>
          <w:szCs w:val="22"/>
        </w:rPr>
      </w:pPr>
    </w:p>
    <w:p w:rsidR="008044CB" w:rsidRPr="004062C3" w:rsidRDefault="008044CB" w:rsidP="006B215D">
      <w:pPr>
        <w:spacing w:line="276" w:lineRule="auto"/>
        <w:jc w:val="both"/>
        <w:rPr>
          <w:rFonts w:cs="Arial"/>
          <w:sz w:val="22"/>
          <w:szCs w:val="22"/>
        </w:rPr>
      </w:pPr>
      <w:r w:rsidRPr="004062C3">
        <w:rPr>
          <w:rFonts w:cs="Arial"/>
          <w:sz w:val="22"/>
          <w:szCs w:val="22"/>
        </w:rPr>
        <w:t xml:space="preserve">The following table is a high level summary of the </w:t>
      </w:r>
      <w:r w:rsidR="00680393">
        <w:rPr>
          <w:rFonts w:cs="Arial"/>
          <w:sz w:val="22"/>
          <w:szCs w:val="22"/>
        </w:rPr>
        <w:t>2020</w:t>
      </w:r>
      <w:r w:rsidR="00F341BE" w:rsidRPr="004062C3">
        <w:rPr>
          <w:rFonts w:cs="Arial"/>
          <w:sz w:val="22"/>
          <w:szCs w:val="22"/>
        </w:rPr>
        <w:t>/</w:t>
      </w:r>
      <w:r w:rsidR="00680393">
        <w:rPr>
          <w:rFonts w:cs="Arial"/>
          <w:sz w:val="22"/>
          <w:szCs w:val="22"/>
        </w:rPr>
        <w:t>21</w:t>
      </w:r>
      <w:r w:rsidR="002D392B">
        <w:rPr>
          <w:rFonts w:cs="Arial"/>
          <w:sz w:val="22"/>
          <w:szCs w:val="22"/>
        </w:rPr>
        <w:t xml:space="preserve"> </w:t>
      </w:r>
      <w:r w:rsidRPr="004062C3">
        <w:rPr>
          <w:rFonts w:cs="Arial"/>
          <w:sz w:val="22"/>
          <w:szCs w:val="22"/>
        </w:rPr>
        <w:t>budget and MTREF (classified per main type of operating expenditure):</w:t>
      </w:r>
    </w:p>
    <w:p w:rsidR="004062C3" w:rsidRDefault="004062C3" w:rsidP="00121881">
      <w:pPr>
        <w:pStyle w:val="Caption"/>
        <w:tabs>
          <w:tab w:val="left" w:pos="851"/>
        </w:tabs>
      </w:pPr>
      <w:bookmarkStart w:id="47" w:name="_Toc287342454"/>
    </w:p>
    <w:p w:rsidR="004062C3" w:rsidRDefault="004062C3" w:rsidP="004062C3">
      <w:pPr>
        <w:rPr>
          <w:lang w:val="en-ZA"/>
        </w:rPr>
      </w:pPr>
    </w:p>
    <w:p w:rsidR="004062C3" w:rsidRDefault="004062C3" w:rsidP="00AD05F0">
      <w:pPr>
        <w:pStyle w:val="Caption"/>
        <w:tabs>
          <w:tab w:val="left" w:pos="851"/>
        </w:tabs>
        <w:rPr>
          <w:color w:val="984806"/>
          <w:szCs w:val="22"/>
        </w:rPr>
        <w:sectPr w:rsidR="004062C3" w:rsidSect="00B927A3">
          <w:pgSz w:w="11907" w:h="16840" w:code="9"/>
          <w:pgMar w:top="1134" w:right="1134" w:bottom="1134" w:left="1134" w:header="720" w:footer="720" w:gutter="0"/>
          <w:cols w:space="720" w:equalWidth="0">
            <w:col w:w="9659"/>
          </w:cols>
          <w:noEndnote/>
          <w:docGrid w:linePitch="360"/>
        </w:sectPr>
      </w:pPr>
      <w:bookmarkStart w:id="48" w:name="_Toc509209321"/>
    </w:p>
    <w:p w:rsidR="008044CB" w:rsidRPr="004062C3" w:rsidRDefault="00680393" w:rsidP="00AD05F0">
      <w:pPr>
        <w:pStyle w:val="Caption"/>
        <w:tabs>
          <w:tab w:val="left" w:pos="851"/>
        </w:tabs>
        <w:rPr>
          <w:color w:val="984806"/>
          <w:szCs w:val="22"/>
        </w:rPr>
      </w:pPr>
      <w:r>
        <w:rPr>
          <w:noProof/>
          <w:color w:val="984806"/>
          <w:szCs w:val="22"/>
          <w:lang w:val="en-US"/>
        </w:rPr>
        <w:lastRenderedPageBreak/>
        <w:drawing>
          <wp:anchor distT="0" distB="0" distL="114300" distR="114300" simplePos="0" relativeHeight="251691008" behindDoc="0" locked="0" layoutInCell="1" allowOverlap="1">
            <wp:simplePos x="0" y="0"/>
            <wp:positionH relativeFrom="column">
              <wp:posOffset>15240</wp:posOffset>
            </wp:positionH>
            <wp:positionV relativeFrom="paragraph">
              <wp:posOffset>289560</wp:posOffset>
            </wp:positionV>
            <wp:extent cx="9742170" cy="1516380"/>
            <wp:effectExtent l="1905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9742170" cy="1516380"/>
                    </a:xfrm>
                    <a:prstGeom prst="rect">
                      <a:avLst/>
                    </a:prstGeom>
                    <a:noFill/>
                    <a:ln w="9525">
                      <a:noFill/>
                      <a:miter lim="800000"/>
                      <a:headEnd/>
                      <a:tailEnd/>
                    </a:ln>
                  </pic:spPr>
                </pic:pic>
              </a:graphicData>
            </a:graphic>
          </wp:anchor>
        </w:drawing>
      </w:r>
      <w:r w:rsidR="008044CB" w:rsidRPr="00DE2254">
        <w:rPr>
          <w:color w:val="984806"/>
          <w:szCs w:val="22"/>
        </w:rPr>
        <w:t xml:space="preserve">Table </w:t>
      </w:r>
      <w:r w:rsidR="007215C3" w:rsidRPr="00DE2254">
        <w:rPr>
          <w:color w:val="984806"/>
          <w:szCs w:val="22"/>
        </w:rPr>
        <w:t>5</w:t>
      </w:r>
      <w:r w:rsidR="00121881" w:rsidRPr="00DE2254">
        <w:rPr>
          <w:color w:val="984806"/>
          <w:szCs w:val="22"/>
        </w:rPr>
        <w:t xml:space="preserve"> </w:t>
      </w:r>
      <w:r w:rsidR="008044CB" w:rsidRPr="00DE2254">
        <w:rPr>
          <w:color w:val="984806"/>
          <w:szCs w:val="22"/>
        </w:rPr>
        <w:t>Summary of operating expenditure by standard classification item</w:t>
      </w:r>
      <w:bookmarkEnd w:id="47"/>
      <w:bookmarkEnd w:id="48"/>
    </w:p>
    <w:p w:rsidR="00FD4C94" w:rsidRDefault="00FD4C94" w:rsidP="00740BBA">
      <w:pPr>
        <w:pStyle w:val="Caption"/>
        <w:tabs>
          <w:tab w:val="left" w:pos="851"/>
        </w:tabs>
        <w:rPr>
          <w:color w:val="984806"/>
          <w:sz w:val="20"/>
          <w:szCs w:val="20"/>
        </w:rPr>
      </w:pPr>
      <w:bookmarkStart w:id="49" w:name="_Toc356917089"/>
      <w:bookmarkStart w:id="50" w:name="_Toc509209322"/>
      <w:r>
        <w:rPr>
          <w:noProof/>
          <w:color w:val="984806"/>
          <w:sz w:val="20"/>
          <w:szCs w:val="20"/>
          <w:lang w:val="en-US"/>
        </w:rPr>
        <w:drawing>
          <wp:anchor distT="0" distB="0" distL="114300" distR="114300" simplePos="0" relativeHeight="251703296" behindDoc="1" locked="0" layoutInCell="1" allowOverlap="1">
            <wp:simplePos x="0" y="0"/>
            <wp:positionH relativeFrom="column">
              <wp:posOffset>19050</wp:posOffset>
            </wp:positionH>
            <wp:positionV relativeFrom="paragraph">
              <wp:posOffset>1518285</wp:posOffset>
            </wp:positionV>
            <wp:extent cx="9738360" cy="3958590"/>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9738360" cy="3958590"/>
                    </a:xfrm>
                    <a:prstGeom prst="rect">
                      <a:avLst/>
                    </a:prstGeom>
                    <a:noFill/>
                    <a:ln w="9525">
                      <a:noFill/>
                      <a:miter lim="800000"/>
                      <a:headEnd/>
                      <a:tailEnd/>
                    </a:ln>
                  </pic:spPr>
                </pic:pic>
              </a:graphicData>
            </a:graphic>
          </wp:anchor>
        </w:drawing>
      </w:r>
    </w:p>
    <w:p w:rsidR="00FD4C94" w:rsidRPr="00FD4C94" w:rsidRDefault="00FD4C94" w:rsidP="00FD4C94">
      <w:pPr>
        <w:tabs>
          <w:tab w:val="left" w:pos="1662"/>
        </w:tabs>
        <w:rPr>
          <w:lang w:val="en-ZA"/>
        </w:rPr>
      </w:pPr>
      <w:r>
        <w:rPr>
          <w:lang w:val="en-ZA"/>
        </w:rPr>
        <w:tab/>
      </w:r>
    </w:p>
    <w:p w:rsidR="00FD4C94" w:rsidRPr="00FD4C94" w:rsidRDefault="00FD4C94" w:rsidP="00FD4C94">
      <w:pPr>
        <w:rPr>
          <w:lang w:val="en-ZA"/>
        </w:rPr>
      </w:pPr>
    </w:p>
    <w:p w:rsidR="00FD4C94" w:rsidRPr="00FD4C94" w:rsidRDefault="00FD4C94" w:rsidP="00FD4C94">
      <w:pPr>
        <w:rPr>
          <w:lang w:val="en-ZA"/>
        </w:rPr>
      </w:pPr>
    </w:p>
    <w:p w:rsidR="00FD4C94" w:rsidRPr="00FD4C94" w:rsidRDefault="00FD4C94" w:rsidP="00FD4C94">
      <w:pPr>
        <w:rPr>
          <w:lang w:val="en-ZA"/>
        </w:rPr>
      </w:pPr>
    </w:p>
    <w:p w:rsidR="00FD4C94" w:rsidRPr="00FD4C94" w:rsidRDefault="00FD4C94" w:rsidP="00FD4C94">
      <w:pPr>
        <w:rPr>
          <w:lang w:val="en-ZA"/>
        </w:rPr>
      </w:pPr>
    </w:p>
    <w:p w:rsidR="00FD4C94" w:rsidRPr="00FD4C94" w:rsidRDefault="00FD4C94" w:rsidP="00FD4C94">
      <w:pPr>
        <w:rPr>
          <w:lang w:val="en-ZA"/>
        </w:rPr>
      </w:pPr>
    </w:p>
    <w:p w:rsidR="00FD4C94" w:rsidRPr="00FD4C94" w:rsidRDefault="00FD4C94" w:rsidP="00FD4C94">
      <w:pPr>
        <w:rPr>
          <w:lang w:val="en-ZA"/>
        </w:rPr>
      </w:pPr>
    </w:p>
    <w:p w:rsidR="00FD4C94" w:rsidRPr="00FD4C94" w:rsidRDefault="00FD4C94" w:rsidP="00FD4C94">
      <w:pPr>
        <w:rPr>
          <w:lang w:val="en-ZA"/>
        </w:rPr>
      </w:pPr>
    </w:p>
    <w:p w:rsidR="004062C3" w:rsidRPr="00FD4C94" w:rsidRDefault="004062C3" w:rsidP="00FD4C94">
      <w:pPr>
        <w:rPr>
          <w:lang w:val="en-ZA"/>
        </w:rPr>
        <w:sectPr w:rsidR="004062C3" w:rsidRPr="00FD4C94" w:rsidSect="004062C3">
          <w:pgSz w:w="16840" w:h="11907" w:orient="landscape" w:code="9"/>
          <w:pgMar w:top="1134" w:right="1134" w:bottom="1134" w:left="1134" w:header="720" w:footer="720" w:gutter="0"/>
          <w:cols w:space="720" w:equalWidth="0">
            <w:col w:w="9659"/>
          </w:cols>
          <w:noEndnote/>
          <w:docGrid w:linePitch="360"/>
        </w:sectPr>
      </w:pPr>
    </w:p>
    <w:p w:rsidR="00E24068" w:rsidRDefault="00E24068" w:rsidP="00740BBA">
      <w:pPr>
        <w:pStyle w:val="Caption"/>
        <w:tabs>
          <w:tab w:val="left" w:pos="851"/>
        </w:tabs>
        <w:rPr>
          <w:color w:val="984806"/>
          <w:sz w:val="20"/>
          <w:szCs w:val="20"/>
        </w:rPr>
      </w:pPr>
      <w:r w:rsidRPr="008E5B27">
        <w:rPr>
          <w:color w:val="984806"/>
          <w:sz w:val="20"/>
          <w:szCs w:val="20"/>
        </w:rPr>
        <w:lastRenderedPageBreak/>
        <w:t xml:space="preserve">Table </w:t>
      </w:r>
      <w:r w:rsidR="007215C3" w:rsidRPr="008E5B27">
        <w:rPr>
          <w:color w:val="984806"/>
          <w:sz w:val="20"/>
          <w:szCs w:val="20"/>
        </w:rPr>
        <w:t>6</w:t>
      </w:r>
      <w:r w:rsidRPr="008E5B27">
        <w:rPr>
          <w:color w:val="984806"/>
          <w:sz w:val="20"/>
          <w:szCs w:val="20"/>
        </w:rPr>
        <w:t xml:space="preserve"> Percentage growth in expenditure by main expenditure type</w:t>
      </w:r>
      <w:bookmarkEnd w:id="49"/>
      <w:bookmarkEnd w:id="50"/>
    </w:p>
    <w:p w:rsidR="002B4945" w:rsidRPr="002B4945" w:rsidRDefault="00FD4C94" w:rsidP="002B4945">
      <w:pPr>
        <w:rPr>
          <w:lang w:val="en-ZA"/>
        </w:rPr>
      </w:pPr>
      <w:r w:rsidRPr="00FD4C94">
        <w:drawing>
          <wp:inline distT="0" distB="0" distL="0" distR="0">
            <wp:extent cx="6115050" cy="284226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6120765" cy="2844916"/>
                    </a:xfrm>
                    <a:prstGeom prst="rect">
                      <a:avLst/>
                    </a:prstGeom>
                    <a:noFill/>
                    <a:ln w="9525">
                      <a:noFill/>
                      <a:miter lim="800000"/>
                      <a:headEnd/>
                      <a:tailEnd/>
                    </a:ln>
                  </pic:spPr>
                </pic:pic>
              </a:graphicData>
            </a:graphic>
          </wp:inline>
        </w:drawing>
      </w:r>
    </w:p>
    <w:p w:rsidR="001D6B9F" w:rsidRDefault="001D6B9F" w:rsidP="00E659E0">
      <w:pPr>
        <w:pStyle w:val="Caption"/>
        <w:tabs>
          <w:tab w:val="left" w:pos="851"/>
        </w:tabs>
        <w:rPr>
          <w:color w:val="984806"/>
          <w:sz w:val="20"/>
          <w:szCs w:val="20"/>
        </w:rPr>
      </w:pPr>
    </w:p>
    <w:p w:rsidR="00E659E0" w:rsidRDefault="00E659E0" w:rsidP="00E659E0">
      <w:pPr>
        <w:pStyle w:val="Caption"/>
        <w:tabs>
          <w:tab w:val="left" w:pos="851"/>
        </w:tabs>
        <w:rPr>
          <w:noProof/>
          <w:sz w:val="16"/>
          <w:szCs w:val="16"/>
          <w:lang w:val="en-US"/>
        </w:rPr>
      </w:pPr>
      <w:bookmarkStart w:id="51" w:name="_Toc509209323"/>
      <w:r w:rsidRPr="00E659E0">
        <w:rPr>
          <w:color w:val="984806"/>
          <w:sz w:val="20"/>
          <w:szCs w:val="20"/>
        </w:rPr>
        <w:t>Fig 2: Expenditure by major type</w:t>
      </w:r>
      <w:bookmarkEnd w:id="51"/>
    </w:p>
    <w:p w:rsidR="003C6DBB" w:rsidRPr="003C6DBB" w:rsidRDefault="00FD4C94" w:rsidP="000A5665">
      <w:pPr>
        <w:jc w:val="center"/>
      </w:pPr>
      <w:r>
        <w:rPr>
          <w:noProof/>
        </w:rPr>
        <w:drawing>
          <wp:inline distT="0" distB="0" distL="0" distR="0">
            <wp:extent cx="5913120" cy="267081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5913120" cy="2670810"/>
                    </a:xfrm>
                    <a:prstGeom prst="rect">
                      <a:avLst/>
                    </a:prstGeom>
                    <a:noFill/>
                  </pic:spPr>
                </pic:pic>
              </a:graphicData>
            </a:graphic>
          </wp:inline>
        </w:drawing>
      </w:r>
    </w:p>
    <w:p w:rsidR="00E659E0" w:rsidRDefault="00E659E0" w:rsidP="00E24068">
      <w:pPr>
        <w:rPr>
          <w:sz w:val="16"/>
          <w:szCs w:val="16"/>
          <w:lang w:val="en-ZA"/>
        </w:rPr>
      </w:pPr>
    </w:p>
    <w:p w:rsidR="00E659E0" w:rsidRPr="00E775EE" w:rsidRDefault="00E659E0" w:rsidP="00E24068">
      <w:pPr>
        <w:rPr>
          <w:sz w:val="16"/>
          <w:szCs w:val="16"/>
          <w:lang w:val="en-ZA"/>
        </w:rPr>
      </w:pPr>
    </w:p>
    <w:p w:rsidR="005864ED" w:rsidRPr="00521297" w:rsidRDefault="008044CB" w:rsidP="001D6B9F">
      <w:pPr>
        <w:spacing w:line="276" w:lineRule="auto"/>
        <w:jc w:val="both"/>
        <w:rPr>
          <w:rFonts w:cs="Arial"/>
          <w:sz w:val="22"/>
          <w:szCs w:val="22"/>
        </w:rPr>
      </w:pPr>
      <w:r w:rsidRPr="00521297">
        <w:rPr>
          <w:rFonts w:cs="Arial"/>
          <w:sz w:val="22"/>
          <w:szCs w:val="22"/>
        </w:rPr>
        <w:t xml:space="preserve">The budgeted allocation for employee related costs for the </w:t>
      </w:r>
      <w:r w:rsidR="00680393">
        <w:rPr>
          <w:rFonts w:cs="Arial"/>
          <w:sz w:val="22"/>
          <w:szCs w:val="22"/>
        </w:rPr>
        <w:t>2020/21</w:t>
      </w:r>
      <w:r w:rsidR="002D392B">
        <w:rPr>
          <w:rFonts w:cs="Arial"/>
          <w:sz w:val="22"/>
          <w:szCs w:val="22"/>
        </w:rPr>
        <w:t xml:space="preserve"> </w:t>
      </w:r>
      <w:r w:rsidRPr="00521297">
        <w:rPr>
          <w:rFonts w:cs="Arial"/>
          <w:sz w:val="22"/>
          <w:szCs w:val="22"/>
        </w:rPr>
        <w:t xml:space="preserve">financial year totals </w:t>
      </w:r>
      <w:r w:rsidR="00FD4C94">
        <w:rPr>
          <w:rFonts w:cs="Arial"/>
          <w:sz w:val="22"/>
          <w:szCs w:val="22"/>
        </w:rPr>
        <w:t>R 242</w:t>
      </w:r>
      <w:r w:rsidR="002D392B">
        <w:rPr>
          <w:rFonts w:cs="Arial"/>
          <w:sz w:val="22"/>
          <w:szCs w:val="22"/>
        </w:rPr>
        <w:t xml:space="preserve"> </w:t>
      </w:r>
      <w:r w:rsidR="00B3722C" w:rsidRPr="00521297">
        <w:rPr>
          <w:rFonts w:cs="Arial"/>
          <w:sz w:val="22"/>
          <w:szCs w:val="22"/>
        </w:rPr>
        <w:t>million</w:t>
      </w:r>
      <w:r w:rsidRPr="00521297">
        <w:rPr>
          <w:rFonts w:cs="Arial"/>
          <w:sz w:val="22"/>
          <w:szCs w:val="22"/>
        </w:rPr>
        <w:t xml:space="preserve">, which </w:t>
      </w:r>
      <w:r w:rsidRPr="00DE2254">
        <w:rPr>
          <w:rFonts w:cs="Arial"/>
          <w:sz w:val="22"/>
          <w:szCs w:val="22"/>
        </w:rPr>
        <w:t xml:space="preserve">equals </w:t>
      </w:r>
      <w:r w:rsidR="00FD4C94">
        <w:rPr>
          <w:rFonts w:cs="Arial"/>
          <w:sz w:val="22"/>
          <w:szCs w:val="22"/>
        </w:rPr>
        <w:t>44</w:t>
      </w:r>
      <w:r w:rsidR="002D392B" w:rsidRPr="00DE2254">
        <w:rPr>
          <w:rFonts w:cs="Arial"/>
          <w:sz w:val="22"/>
          <w:szCs w:val="22"/>
        </w:rPr>
        <w:t xml:space="preserve"> </w:t>
      </w:r>
      <w:r w:rsidR="00A52B13" w:rsidRPr="00DE2254">
        <w:rPr>
          <w:rFonts w:cs="Arial"/>
          <w:sz w:val="22"/>
          <w:szCs w:val="22"/>
        </w:rPr>
        <w:t>percent</w:t>
      </w:r>
      <w:r w:rsidRPr="00DE2254">
        <w:rPr>
          <w:rFonts w:cs="Arial"/>
          <w:sz w:val="22"/>
          <w:szCs w:val="22"/>
        </w:rPr>
        <w:t xml:space="preserve"> of the total operating expenditure.</w:t>
      </w:r>
      <w:r w:rsidR="00FD4C94">
        <w:rPr>
          <w:rFonts w:cs="Arial"/>
          <w:sz w:val="22"/>
          <w:szCs w:val="22"/>
        </w:rPr>
        <w:t xml:space="preserve"> This is 4</w:t>
      </w:r>
      <w:r w:rsidR="005063D8" w:rsidRPr="00DE2254">
        <w:rPr>
          <w:rFonts w:cs="Arial"/>
          <w:sz w:val="22"/>
          <w:szCs w:val="22"/>
        </w:rPr>
        <w:t>% above</w:t>
      </w:r>
      <w:r w:rsidR="002D392B">
        <w:rPr>
          <w:rFonts w:cs="Arial"/>
          <w:sz w:val="22"/>
          <w:szCs w:val="22"/>
        </w:rPr>
        <w:t xml:space="preserve"> the norm. The high rate is as result of the municipality reducing operating expenditure in order to ensure that the municipality has a funded budget. Employe</w:t>
      </w:r>
      <w:r w:rsidR="00680393">
        <w:rPr>
          <w:rFonts w:cs="Arial"/>
          <w:sz w:val="22"/>
          <w:szCs w:val="22"/>
        </w:rPr>
        <w:t>e Related Costs increased by 6.25</w:t>
      </w:r>
      <w:r w:rsidR="002D392B">
        <w:rPr>
          <w:rFonts w:cs="Arial"/>
          <w:sz w:val="22"/>
          <w:szCs w:val="22"/>
        </w:rPr>
        <w:t xml:space="preserve">% as per the </w:t>
      </w:r>
      <w:r w:rsidR="005864ED" w:rsidRPr="00521297">
        <w:rPr>
          <w:rFonts w:cs="Arial"/>
          <w:sz w:val="22"/>
          <w:szCs w:val="22"/>
        </w:rPr>
        <w:t>Wage Collective Agreement</w:t>
      </w:r>
      <w:r w:rsidR="002D392B">
        <w:rPr>
          <w:rFonts w:cs="Arial"/>
          <w:sz w:val="22"/>
          <w:szCs w:val="22"/>
        </w:rPr>
        <w:t xml:space="preserve">. </w:t>
      </w:r>
    </w:p>
    <w:p w:rsidR="005864ED" w:rsidRPr="00521297" w:rsidRDefault="005864ED" w:rsidP="005864ED">
      <w:pPr>
        <w:spacing w:line="276" w:lineRule="auto"/>
        <w:jc w:val="both"/>
        <w:rPr>
          <w:rFonts w:cs="Arial"/>
          <w:sz w:val="22"/>
          <w:szCs w:val="22"/>
        </w:rPr>
      </w:pPr>
    </w:p>
    <w:p w:rsidR="008044CB" w:rsidRPr="00521297" w:rsidRDefault="008044CB" w:rsidP="006B215D">
      <w:pPr>
        <w:spacing w:line="276" w:lineRule="auto"/>
        <w:jc w:val="both"/>
        <w:rPr>
          <w:rFonts w:cs="Arial"/>
          <w:sz w:val="22"/>
          <w:szCs w:val="22"/>
        </w:rPr>
      </w:pPr>
      <w:r w:rsidRPr="00521297">
        <w:rPr>
          <w:rFonts w:cs="Arial"/>
          <w:sz w:val="22"/>
          <w:szCs w:val="22"/>
        </w:rPr>
        <w:t>The cost assoc</w:t>
      </w:r>
      <w:r w:rsidR="009310EB" w:rsidRPr="00521297">
        <w:rPr>
          <w:rFonts w:cs="Arial"/>
          <w:sz w:val="22"/>
          <w:szCs w:val="22"/>
        </w:rPr>
        <w:t xml:space="preserve">iated with the remuneration of </w:t>
      </w:r>
      <w:r w:rsidR="00792D58" w:rsidRPr="00521297">
        <w:rPr>
          <w:rFonts w:cs="Arial"/>
          <w:sz w:val="22"/>
          <w:szCs w:val="22"/>
        </w:rPr>
        <w:t>Councilors</w:t>
      </w:r>
      <w:r w:rsidRPr="00521297">
        <w:rPr>
          <w:rFonts w:cs="Arial"/>
          <w:sz w:val="22"/>
          <w:szCs w:val="22"/>
        </w:rPr>
        <w:t xml:space="preserve"> is determined by the Minister of Co-operative Governance and Traditional Affairs in accordance with the Remuneration of Public Office </w:t>
      </w:r>
      <w:r w:rsidRPr="005063D8">
        <w:rPr>
          <w:rFonts w:cs="Arial"/>
          <w:sz w:val="22"/>
          <w:szCs w:val="22"/>
        </w:rPr>
        <w:t xml:space="preserve">Bearers Act, 1998 (Act 20 of 1998). The most recent proclamation in this regard has been taken into account in compiling the </w:t>
      </w:r>
      <w:r w:rsidR="00A52B13" w:rsidRPr="005063D8">
        <w:rPr>
          <w:rFonts w:cs="Arial"/>
          <w:sz w:val="22"/>
          <w:szCs w:val="22"/>
        </w:rPr>
        <w:t>Municipality</w:t>
      </w:r>
      <w:r w:rsidRPr="005063D8">
        <w:rPr>
          <w:rFonts w:cs="Arial"/>
          <w:sz w:val="22"/>
          <w:szCs w:val="22"/>
        </w:rPr>
        <w:t>’s budget</w:t>
      </w:r>
      <w:r w:rsidR="00E92EC4" w:rsidRPr="005063D8">
        <w:rPr>
          <w:rFonts w:cs="Arial"/>
          <w:sz w:val="22"/>
          <w:szCs w:val="22"/>
        </w:rPr>
        <w:t>.</w:t>
      </w:r>
    </w:p>
    <w:p w:rsidR="00E24068" w:rsidRPr="00521297" w:rsidRDefault="00E24068" w:rsidP="006B215D">
      <w:pPr>
        <w:spacing w:line="276" w:lineRule="auto"/>
        <w:jc w:val="both"/>
        <w:rPr>
          <w:rFonts w:cs="Arial"/>
          <w:sz w:val="22"/>
          <w:szCs w:val="22"/>
        </w:rPr>
      </w:pPr>
    </w:p>
    <w:p w:rsidR="006C217D" w:rsidRPr="00521297" w:rsidRDefault="00521297" w:rsidP="006B215D">
      <w:pPr>
        <w:spacing w:line="276" w:lineRule="auto"/>
        <w:jc w:val="both"/>
        <w:rPr>
          <w:rFonts w:cs="Arial"/>
          <w:sz w:val="22"/>
          <w:szCs w:val="22"/>
        </w:rPr>
      </w:pPr>
      <w:r>
        <w:rPr>
          <w:rFonts w:cs="Arial"/>
          <w:sz w:val="22"/>
          <w:szCs w:val="22"/>
        </w:rPr>
        <w:t xml:space="preserve">During the </w:t>
      </w:r>
      <w:r w:rsidR="00C8022B">
        <w:rPr>
          <w:rFonts w:cs="Arial"/>
          <w:sz w:val="22"/>
          <w:szCs w:val="22"/>
        </w:rPr>
        <w:t xml:space="preserve">prior year’s </w:t>
      </w:r>
      <w:r>
        <w:rPr>
          <w:rFonts w:cs="Arial"/>
          <w:sz w:val="22"/>
          <w:szCs w:val="22"/>
        </w:rPr>
        <w:t xml:space="preserve">Budget Engagement process, Provincial Treasury adviced that </w:t>
      </w:r>
      <w:r w:rsidR="00C8022B">
        <w:rPr>
          <w:rFonts w:cs="Arial"/>
          <w:sz w:val="22"/>
          <w:szCs w:val="22"/>
        </w:rPr>
        <w:t xml:space="preserve">the municipality should budget for debt impairment on percentage not collected. The budgeted </w:t>
      </w:r>
      <w:r w:rsidR="00C8022B">
        <w:rPr>
          <w:rFonts w:cs="Arial"/>
          <w:sz w:val="22"/>
          <w:szCs w:val="22"/>
        </w:rPr>
        <w:lastRenderedPageBreak/>
        <w:t xml:space="preserve">collection rate is </w:t>
      </w:r>
      <w:r w:rsidR="00C8022B" w:rsidRPr="00DE2254">
        <w:rPr>
          <w:rFonts w:cs="Arial"/>
          <w:sz w:val="22"/>
          <w:szCs w:val="22"/>
        </w:rPr>
        <w:t>30%</w:t>
      </w:r>
      <w:r w:rsidR="006275AD" w:rsidRPr="00DE2254">
        <w:rPr>
          <w:rFonts w:cs="Arial"/>
          <w:sz w:val="22"/>
          <w:szCs w:val="22"/>
        </w:rPr>
        <w:t xml:space="preserve"> on consumers with conventional meters and 100% on consumers with pre-paid water meters</w:t>
      </w:r>
      <w:r w:rsidR="00C8022B" w:rsidRPr="00DE2254">
        <w:rPr>
          <w:rFonts w:cs="Arial"/>
          <w:sz w:val="22"/>
          <w:szCs w:val="22"/>
        </w:rPr>
        <w:t xml:space="preserve">. </w:t>
      </w:r>
      <w:r w:rsidR="005063D8" w:rsidRPr="00DE2254">
        <w:rPr>
          <w:rFonts w:cs="Arial"/>
          <w:sz w:val="22"/>
          <w:szCs w:val="22"/>
        </w:rPr>
        <w:t>As per Provincial Treasury’s advice, t</w:t>
      </w:r>
      <w:r w:rsidRPr="00DE2254">
        <w:rPr>
          <w:rFonts w:cs="Arial"/>
          <w:sz w:val="22"/>
          <w:szCs w:val="22"/>
        </w:rPr>
        <w:t xml:space="preserve">he municipality should </w:t>
      </w:r>
      <w:r w:rsidR="00C8022B" w:rsidRPr="00DE2254">
        <w:rPr>
          <w:rFonts w:cs="Arial"/>
          <w:sz w:val="22"/>
          <w:szCs w:val="22"/>
        </w:rPr>
        <w:t>therefore use the remaining 7</w:t>
      </w:r>
      <w:r w:rsidRPr="00DE2254">
        <w:rPr>
          <w:rFonts w:cs="Arial"/>
          <w:sz w:val="22"/>
          <w:szCs w:val="22"/>
        </w:rPr>
        <w:t xml:space="preserve">0% as the </w:t>
      </w:r>
      <w:r w:rsidR="008044CB" w:rsidRPr="00DE2254">
        <w:rPr>
          <w:rFonts w:cs="Arial"/>
          <w:sz w:val="22"/>
          <w:szCs w:val="22"/>
        </w:rPr>
        <w:t>provision of debt impairment</w:t>
      </w:r>
      <w:r w:rsidRPr="00DE2254">
        <w:rPr>
          <w:rFonts w:cs="Arial"/>
          <w:sz w:val="22"/>
          <w:szCs w:val="22"/>
        </w:rPr>
        <w:t>. The municipa</w:t>
      </w:r>
      <w:r w:rsidR="00C8022B" w:rsidRPr="00DE2254">
        <w:rPr>
          <w:rFonts w:cs="Arial"/>
          <w:sz w:val="22"/>
          <w:szCs w:val="22"/>
        </w:rPr>
        <w:t>lity decided to only apply the 7</w:t>
      </w:r>
      <w:r w:rsidRPr="00DE2254">
        <w:rPr>
          <w:rFonts w:cs="Arial"/>
          <w:sz w:val="22"/>
          <w:szCs w:val="22"/>
        </w:rPr>
        <w:t>0% to residential consumers</w:t>
      </w:r>
      <w:r w:rsidR="006275AD" w:rsidRPr="00DE2254">
        <w:rPr>
          <w:rFonts w:cs="Arial"/>
          <w:sz w:val="22"/>
          <w:szCs w:val="22"/>
        </w:rPr>
        <w:t xml:space="preserve"> with conventional meters</w:t>
      </w:r>
      <w:r w:rsidRPr="00DE2254">
        <w:rPr>
          <w:rFonts w:cs="Arial"/>
          <w:sz w:val="22"/>
          <w:szCs w:val="22"/>
        </w:rPr>
        <w:t>.</w:t>
      </w:r>
      <w:r w:rsidR="00430456" w:rsidRPr="00DE2254">
        <w:rPr>
          <w:rFonts w:cs="Arial"/>
          <w:sz w:val="22"/>
          <w:szCs w:val="22"/>
        </w:rPr>
        <w:t xml:space="preserve"> The total budgeted collection rate is 40% i</w:t>
      </w:r>
      <w:r w:rsidR="00680393">
        <w:rPr>
          <w:rFonts w:cs="Arial"/>
          <w:sz w:val="22"/>
          <w:szCs w:val="22"/>
        </w:rPr>
        <w:t>n the current year (2020/21</w:t>
      </w:r>
      <w:r w:rsidR="00430456" w:rsidRPr="00DE2254">
        <w:rPr>
          <w:rFonts w:cs="Arial"/>
          <w:sz w:val="22"/>
          <w:szCs w:val="22"/>
        </w:rPr>
        <w:t>) and 4</w:t>
      </w:r>
      <w:r w:rsidR="00680393">
        <w:rPr>
          <w:rFonts w:cs="Arial"/>
          <w:sz w:val="22"/>
          <w:szCs w:val="22"/>
        </w:rPr>
        <w:t>5% for the two outer years (2021/22 and 2022/23</w:t>
      </w:r>
      <w:r w:rsidR="00430456" w:rsidRPr="00DE2254">
        <w:rPr>
          <w:rFonts w:cs="Arial"/>
          <w:sz w:val="22"/>
          <w:szCs w:val="22"/>
        </w:rPr>
        <w:t>).</w:t>
      </w:r>
      <w:r w:rsidR="00430456">
        <w:rPr>
          <w:rFonts w:cs="Arial"/>
          <w:sz w:val="22"/>
          <w:szCs w:val="22"/>
        </w:rPr>
        <w:t xml:space="preserve"> </w:t>
      </w:r>
      <w:r w:rsidR="008044CB" w:rsidRPr="00521297">
        <w:rPr>
          <w:rFonts w:cs="Arial"/>
          <w:sz w:val="22"/>
          <w:szCs w:val="22"/>
        </w:rPr>
        <w:t xml:space="preserve"> For the </w:t>
      </w:r>
      <w:r w:rsidR="00680393">
        <w:rPr>
          <w:rFonts w:cs="Arial"/>
          <w:sz w:val="22"/>
          <w:szCs w:val="22"/>
        </w:rPr>
        <w:t>2020/21</w:t>
      </w:r>
      <w:r w:rsidR="00C8022B">
        <w:rPr>
          <w:rFonts w:cs="Arial"/>
          <w:sz w:val="22"/>
          <w:szCs w:val="22"/>
        </w:rPr>
        <w:t xml:space="preserve"> </w:t>
      </w:r>
      <w:r w:rsidR="008044CB" w:rsidRPr="00521297">
        <w:rPr>
          <w:rFonts w:cs="Arial"/>
          <w:sz w:val="22"/>
          <w:szCs w:val="22"/>
        </w:rPr>
        <w:t>financial year this amount equates to R</w:t>
      </w:r>
      <w:r w:rsidR="003B7E35">
        <w:rPr>
          <w:rFonts w:cs="Arial"/>
          <w:sz w:val="22"/>
          <w:szCs w:val="22"/>
        </w:rPr>
        <w:t xml:space="preserve"> 79</w:t>
      </w:r>
      <w:r w:rsidR="00C8022B">
        <w:rPr>
          <w:rFonts w:cs="Arial"/>
          <w:sz w:val="22"/>
          <w:szCs w:val="22"/>
        </w:rPr>
        <w:t xml:space="preserve"> </w:t>
      </w:r>
      <w:r w:rsidR="00484FFD" w:rsidRPr="00521297">
        <w:rPr>
          <w:rFonts w:cs="Arial"/>
          <w:sz w:val="22"/>
          <w:szCs w:val="22"/>
        </w:rPr>
        <w:t>million</w:t>
      </w:r>
      <w:r w:rsidR="00B3722C" w:rsidRPr="00521297">
        <w:rPr>
          <w:rFonts w:cs="Arial"/>
          <w:sz w:val="22"/>
          <w:szCs w:val="22"/>
        </w:rPr>
        <w:t xml:space="preserve">. </w:t>
      </w:r>
      <w:r w:rsidR="008044CB" w:rsidRPr="00521297">
        <w:rPr>
          <w:rFonts w:cs="Arial"/>
          <w:sz w:val="22"/>
          <w:szCs w:val="22"/>
        </w:rPr>
        <w:t>While this expenditure is considered to be a non-cash flow item, it informed the total cost associated with rendering the services of the municipality, as well as the municipality’s realistically anticipated revenues.</w:t>
      </w:r>
    </w:p>
    <w:p w:rsidR="006C217D" w:rsidRPr="00521297" w:rsidRDefault="006C217D" w:rsidP="006B215D">
      <w:pPr>
        <w:spacing w:line="276" w:lineRule="auto"/>
        <w:jc w:val="both"/>
        <w:rPr>
          <w:rFonts w:cs="Arial"/>
          <w:sz w:val="22"/>
          <w:szCs w:val="22"/>
        </w:rPr>
      </w:pPr>
    </w:p>
    <w:p w:rsidR="008044CB" w:rsidRPr="00521297" w:rsidRDefault="008044CB" w:rsidP="006B215D">
      <w:pPr>
        <w:spacing w:line="276" w:lineRule="auto"/>
        <w:jc w:val="both"/>
        <w:rPr>
          <w:rFonts w:cs="Arial"/>
          <w:sz w:val="22"/>
          <w:szCs w:val="22"/>
        </w:rPr>
      </w:pPr>
      <w:r w:rsidRPr="00521297">
        <w:rPr>
          <w:rFonts w:cs="Arial"/>
          <w:sz w:val="22"/>
          <w:szCs w:val="22"/>
        </w:rPr>
        <w:t>Provision for depreciation and asset impairment has been informed by the Municipality’s Asset Management Policy. Depreciation is widely considered a proxy for the measurement of the rate asset consumption. Budget appropriations in this regard total R</w:t>
      </w:r>
      <w:r w:rsidR="003B7E35">
        <w:rPr>
          <w:rFonts w:cs="Arial"/>
          <w:sz w:val="22"/>
          <w:szCs w:val="22"/>
        </w:rPr>
        <w:t xml:space="preserve"> 50</w:t>
      </w:r>
      <w:r w:rsidR="00C8022B">
        <w:rPr>
          <w:rFonts w:cs="Arial"/>
          <w:sz w:val="22"/>
          <w:szCs w:val="22"/>
        </w:rPr>
        <w:t xml:space="preserve"> </w:t>
      </w:r>
      <w:r w:rsidR="00ED6E5C" w:rsidRPr="00521297">
        <w:rPr>
          <w:rFonts w:cs="Arial"/>
          <w:sz w:val="22"/>
          <w:szCs w:val="22"/>
        </w:rPr>
        <w:t xml:space="preserve">million for the </w:t>
      </w:r>
      <w:r w:rsidR="003B7E35">
        <w:rPr>
          <w:rFonts w:cs="Arial"/>
          <w:sz w:val="22"/>
          <w:szCs w:val="22"/>
        </w:rPr>
        <w:t>2020/21</w:t>
      </w:r>
      <w:r w:rsidR="00C8022B">
        <w:rPr>
          <w:rFonts w:cs="Arial"/>
          <w:sz w:val="22"/>
          <w:szCs w:val="22"/>
        </w:rPr>
        <w:t xml:space="preserve"> </w:t>
      </w:r>
      <w:r w:rsidRPr="00521297">
        <w:rPr>
          <w:rFonts w:cs="Arial"/>
          <w:sz w:val="22"/>
          <w:szCs w:val="22"/>
        </w:rPr>
        <w:t xml:space="preserve">financial </w:t>
      </w:r>
      <w:r w:rsidR="00B3722C" w:rsidRPr="00521297">
        <w:rPr>
          <w:rFonts w:cs="Arial"/>
          <w:sz w:val="22"/>
          <w:szCs w:val="22"/>
        </w:rPr>
        <w:t xml:space="preserve">year </w:t>
      </w:r>
      <w:r w:rsidRPr="00521297">
        <w:rPr>
          <w:rFonts w:cs="Arial"/>
          <w:sz w:val="22"/>
          <w:szCs w:val="22"/>
        </w:rPr>
        <w:t xml:space="preserve">and equates to </w:t>
      </w:r>
      <w:r w:rsidR="00FD4C94">
        <w:rPr>
          <w:rFonts w:cs="Arial"/>
          <w:sz w:val="22"/>
          <w:szCs w:val="22"/>
        </w:rPr>
        <w:t>9</w:t>
      </w:r>
      <w:r w:rsidR="00C8022B">
        <w:rPr>
          <w:rFonts w:cs="Arial"/>
          <w:sz w:val="22"/>
          <w:szCs w:val="22"/>
        </w:rPr>
        <w:t xml:space="preserve"> </w:t>
      </w:r>
      <w:r w:rsidR="00A52B13" w:rsidRPr="00521297">
        <w:rPr>
          <w:rFonts w:cs="Arial"/>
          <w:sz w:val="22"/>
          <w:szCs w:val="22"/>
        </w:rPr>
        <w:t>percent</w:t>
      </w:r>
      <w:r w:rsidRPr="00521297">
        <w:rPr>
          <w:rFonts w:cs="Arial"/>
          <w:sz w:val="22"/>
          <w:szCs w:val="22"/>
        </w:rPr>
        <w:t xml:space="preserve"> of the total operating expenditure. </w:t>
      </w:r>
    </w:p>
    <w:p w:rsidR="008044CB" w:rsidRPr="00521297" w:rsidRDefault="008044CB" w:rsidP="006B215D">
      <w:pPr>
        <w:spacing w:line="276" w:lineRule="auto"/>
        <w:jc w:val="both"/>
        <w:rPr>
          <w:rFonts w:cs="Arial"/>
          <w:sz w:val="22"/>
          <w:szCs w:val="22"/>
        </w:rPr>
      </w:pPr>
    </w:p>
    <w:p w:rsidR="006D722D" w:rsidRDefault="008044CB" w:rsidP="006D722D">
      <w:pPr>
        <w:spacing w:line="360" w:lineRule="auto"/>
        <w:rPr>
          <w:rFonts w:cs="Arial"/>
          <w:sz w:val="22"/>
          <w:szCs w:val="22"/>
        </w:rPr>
      </w:pPr>
      <w:r w:rsidRPr="00521297">
        <w:rPr>
          <w:rFonts w:cs="Arial"/>
          <w:sz w:val="22"/>
          <w:szCs w:val="22"/>
        </w:rPr>
        <w:t>Finance charges consist primarily of the repayment of interest on long-term borrowing</w:t>
      </w:r>
      <w:r w:rsidR="00C8022B">
        <w:rPr>
          <w:rFonts w:cs="Arial"/>
          <w:sz w:val="22"/>
          <w:szCs w:val="22"/>
        </w:rPr>
        <w:t>, frontloading and interest on non-current provisions</w:t>
      </w:r>
      <w:r w:rsidRPr="00521297">
        <w:rPr>
          <w:rFonts w:cs="Arial"/>
          <w:sz w:val="22"/>
          <w:szCs w:val="22"/>
        </w:rPr>
        <w:t xml:space="preserve">.  Finance charges </w:t>
      </w:r>
      <w:r w:rsidR="003B7E35">
        <w:rPr>
          <w:rFonts w:cs="Arial"/>
          <w:sz w:val="22"/>
          <w:szCs w:val="22"/>
        </w:rPr>
        <w:t>(R 5.7</w:t>
      </w:r>
      <w:r w:rsidR="001D6B9F" w:rsidRPr="00521297">
        <w:rPr>
          <w:rFonts w:cs="Arial"/>
          <w:sz w:val="22"/>
          <w:szCs w:val="22"/>
        </w:rPr>
        <w:t xml:space="preserve"> million) equates to </w:t>
      </w:r>
      <w:r w:rsidR="003B7E35">
        <w:rPr>
          <w:rFonts w:cs="Arial"/>
          <w:sz w:val="22"/>
          <w:szCs w:val="22"/>
        </w:rPr>
        <w:t>1</w:t>
      </w:r>
      <w:r w:rsidR="003B2AF3" w:rsidRPr="00521297">
        <w:rPr>
          <w:rFonts w:cs="Arial"/>
          <w:sz w:val="22"/>
          <w:szCs w:val="22"/>
        </w:rPr>
        <w:t xml:space="preserve"> percent</w:t>
      </w:r>
      <w:r w:rsidRPr="00521297">
        <w:rPr>
          <w:rFonts w:cs="Arial"/>
          <w:sz w:val="22"/>
          <w:szCs w:val="22"/>
        </w:rPr>
        <w:t xml:space="preserve"> of </w:t>
      </w:r>
      <w:r w:rsidR="003B2AF3" w:rsidRPr="00521297">
        <w:rPr>
          <w:rFonts w:cs="Arial"/>
          <w:sz w:val="22"/>
          <w:szCs w:val="22"/>
        </w:rPr>
        <w:t xml:space="preserve">the </w:t>
      </w:r>
      <w:r w:rsidRPr="00521297">
        <w:rPr>
          <w:rFonts w:cs="Arial"/>
          <w:sz w:val="22"/>
          <w:szCs w:val="22"/>
        </w:rPr>
        <w:t>operating expenditure excl</w:t>
      </w:r>
      <w:r w:rsidR="00ED6E5C" w:rsidRPr="00521297">
        <w:rPr>
          <w:rFonts w:cs="Arial"/>
          <w:sz w:val="22"/>
          <w:szCs w:val="22"/>
        </w:rPr>
        <w:t xml:space="preserve">uding annual redemption for </w:t>
      </w:r>
      <w:r w:rsidR="003B7E35">
        <w:rPr>
          <w:rFonts w:cs="Arial"/>
          <w:sz w:val="22"/>
          <w:szCs w:val="22"/>
        </w:rPr>
        <w:t>2020/21</w:t>
      </w:r>
      <w:r w:rsidR="00C8022B">
        <w:rPr>
          <w:rFonts w:cs="Arial"/>
          <w:sz w:val="22"/>
          <w:szCs w:val="22"/>
        </w:rPr>
        <w:t xml:space="preserve"> </w:t>
      </w:r>
      <w:r w:rsidR="00ED6E5C" w:rsidRPr="00521297">
        <w:rPr>
          <w:rFonts w:cs="Arial"/>
          <w:sz w:val="22"/>
          <w:szCs w:val="22"/>
        </w:rPr>
        <w:t>financial year</w:t>
      </w:r>
      <w:r w:rsidRPr="00521297">
        <w:rPr>
          <w:rFonts w:cs="Arial"/>
          <w:sz w:val="22"/>
          <w:szCs w:val="22"/>
        </w:rPr>
        <w:t>.</w:t>
      </w:r>
      <w:r w:rsidR="006D722D" w:rsidRPr="006D722D">
        <w:rPr>
          <w:rFonts w:cs="Arial"/>
          <w:sz w:val="22"/>
          <w:szCs w:val="22"/>
        </w:rPr>
        <w:t xml:space="preserve"> </w:t>
      </w:r>
    </w:p>
    <w:p w:rsidR="00ED6E5C" w:rsidRPr="00521297" w:rsidRDefault="008044CB" w:rsidP="006B215D">
      <w:pPr>
        <w:spacing w:line="276" w:lineRule="auto"/>
        <w:jc w:val="both"/>
        <w:rPr>
          <w:rFonts w:cs="Arial"/>
          <w:sz w:val="22"/>
          <w:szCs w:val="22"/>
        </w:rPr>
      </w:pPr>
      <w:r w:rsidRPr="00521297">
        <w:rPr>
          <w:rFonts w:cs="Arial"/>
          <w:sz w:val="22"/>
          <w:szCs w:val="22"/>
        </w:rPr>
        <w:t xml:space="preserve"> </w:t>
      </w:r>
    </w:p>
    <w:p w:rsidR="006D722D" w:rsidRDefault="00C8022B" w:rsidP="006B215D">
      <w:pPr>
        <w:spacing w:line="276" w:lineRule="auto"/>
        <w:jc w:val="both"/>
        <w:rPr>
          <w:rFonts w:cs="Arial"/>
          <w:sz w:val="22"/>
          <w:szCs w:val="22"/>
        </w:rPr>
      </w:pPr>
      <w:r>
        <w:rPr>
          <w:rFonts w:cs="Arial"/>
          <w:sz w:val="22"/>
          <w:szCs w:val="22"/>
        </w:rPr>
        <w:t>Bulk Purcha</w:t>
      </w:r>
      <w:r w:rsidR="003B7E35">
        <w:rPr>
          <w:rFonts w:cs="Arial"/>
          <w:sz w:val="22"/>
          <w:szCs w:val="22"/>
        </w:rPr>
        <w:t>ses are allocated R9</w:t>
      </w:r>
      <w:r>
        <w:rPr>
          <w:rFonts w:cs="Arial"/>
          <w:sz w:val="22"/>
          <w:szCs w:val="22"/>
        </w:rPr>
        <w:t xml:space="preserve"> </w:t>
      </w:r>
      <w:r w:rsidR="00DA09B3" w:rsidRPr="00521297">
        <w:rPr>
          <w:rFonts w:cs="Arial"/>
          <w:sz w:val="22"/>
          <w:szCs w:val="22"/>
        </w:rPr>
        <w:t>million</w:t>
      </w:r>
      <w:r w:rsidR="003B7E35">
        <w:rPr>
          <w:rFonts w:cs="Arial"/>
          <w:sz w:val="22"/>
          <w:szCs w:val="22"/>
        </w:rPr>
        <w:t xml:space="preserve"> for 2020/21</w:t>
      </w:r>
      <w:r w:rsidR="005D3650" w:rsidRPr="00521297">
        <w:rPr>
          <w:rFonts w:cs="Arial"/>
          <w:sz w:val="22"/>
          <w:szCs w:val="22"/>
        </w:rPr>
        <w:t xml:space="preserve"> financial year</w:t>
      </w:r>
      <w:r w:rsidR="006D722D">
        <w:rPr>
          <w:rFonts w:cs="Arial"/>
          <w:sz w:val="22"/>
          <w:szCs w:val="22"/>
        </w:rPr>
        <w:t>.</w:t>
      </w:r>
    </w:p>
    <w:p w:rsidR="00342144" w:rsidRPr="00521297" w:rsidRDefault="006D722D" w:rsidP="006B215D">
      <w:pPr>
        <w:spacing w:line="276" w:lineRule="auto"/>
        <w:jc w:val="both"/>
        <w:rPr>
          <w:rFonts w:cs="Arial"/>
          <w:sz w:val="22"/>
          <w:szCs w:val="22"/>
        </w:rPr>
      </w:pPr>
      <w:r w:rsidRPr="00521297">
        <w:rPr>
          <w:rFonts w:cs="Arial"/>
          <w:sz w:val="22"/>
          <w:szCs w:val="22"/>
        </w:rPr>
        <w:t xml:space="preserve"> </w:t>
      </w:r>
    </w:p>
    <w:p w:rsidR="009F4202" w:rsidRDefault="00F72DE9" w:rsidP="006B215D">
      <w:pPr>
        <w:spacing w:line="276" w:lineRule="auto"/>
        <w:jc w:val="both"/>
        <w:rPr>
          <w:rFonts w:cs="Arial"/>
          <w:sz w:val="22"/>
          <w:szCs w:val="22"/>
        </w:rPr>
      </w:pPr>
      <w:r w:rsidRPr="00112F1D">
        <w:rPr>
          <w:rFonts w:cs="Arial"/>
          <w:sz w:val="22"/>
          <w:szCs w:val="22"/>
        </w:rPr>
        <w:t>Repairs and Ma</w:t>
      </w:r>
      <w:r w:rsidR="009E471B" w:rsidRPr="00112F1D">
        <w:rPr>
          <w:rFonts w:cs="Arial"/>
          <w:sz w:val="22"/>
          <w:szCs w:val="22"/>
        </w:rPr>
        <w:t>intena</w:t>
      </w:r>
      <w:r w:rsidRPr="00112F1D">
        <w:rPr>
          <w:rFonts w:cs="Arial"/>
          <w:sz w:val="22"/>
          <w:szCs w:val="22"/>
        </w:rPr>
        <w:t xml:space="preserve">nce allocation </w:t>
      </w:r>
      <w:r w:rsidR="007D743F" w:rsidRPr="00112F1D">
        <w:rPr>
          <w:rFonts w:cs="Arial"/>
          <w:sz w:val="22"/>
          <w:szCs w:val="22"/>
        </w:rPr>
        <w:t xml:space="preserve">is </w:t>
      </w:r>
      <w:r w:rsidRPr="00112F1D">
        <w:rPr>
          <w:rFonts w:cs="Arial"/>
          <w:sz w:val="22"/>
          <w:szCs w:val="22"/>
        </w:rPr>
        <w:t>R</w:t>
      </w:r>
      <w:r w:rsidR="003B7E35">
        <w:rPr>
          <w:rFonts w:cs="Arial"/>
          <w:sz w:val="22"/>
          <w:szCs w:val="22"/>
        </w:rPr>
        <w:t xml:space="preserve"> 72.6</w:t>
      </w:r>
      <w:r w:rsidR="00112F1D">
        <w:rPr>
          <w:rFonts w:cs="Arial"/>
          <w:sz w:val="22"/>
          <w:szCs w:val="22"/>
        </w:rPr>
        <w:t xml:space="preserve"> </w:t>
      </w:r>
      <w:r w:rsidR="00C30719" w:rsidRPr="00112F1D">
        <w:rPr>
          <w:rFonts w:cs="Arial"/>
          <w:sz w:val="22"/>
          <w:szCs w:val="22"/>
        </w:rPr>
        <w:t>million (including</w:t>
      </w:r>
      <w:r w:rsidR="002953E6" w:rsidRPr="00112F1D">
        <w:rPr>
          <w:rFonts w:cs="Arial"/>
          <w:sz w:val="22"/>
          <w:szCs w:val="22"/>
        </w:rPr>
        <w:t xml:space="preserve"> the employee costs</w:t>
      </w:r>
      <w:r w:rsidR="003B7E35">
        <w:rPr>
          <w:rFonts w:cs="Arial"/>
          <w:sz w:val="22"/>
          <w:szCs w:val="22"/>
        </w:rPr>
        <w:t>, amounting to R49</w:t>
      </w:r>
      <w:r w:rsidR="00A17D3D">
        <w:rPr>
          <w:rFonts w:cs="Arial"/>
          <w:sz w:val="22"/>
          <w:szCs w:val="22"/>
        </w:rPr>
        <w:t xml:space="preserve"> million,</w:t>
      </w:r>
      <w:r w:rsidR="002953E6" w:rsidRPr="00112F1D">
        <w:rPr>
          <w:rFonts w:cs="Arial"/>
          <w:sz w:val="22"/>
          <w:szCs w:val="22"/>
        </w:rPr>
        <w:t xml:space="preserve"> of departments responsible for repairs and maintenance)</w:t>
      </w:r>
      <w:r w:rsidR="003B7E35">
        <w:rPr>
          <w:rFonts w:cs="Arial"/>
          <w:sz w:val="22"/>
          <w:szCs w:val="22"/>
        </w:rPr>
        <w:t xml:space="preserve"> for the 2020/21</w:t>
      </w:r>
      <w:r w:rsidR="00C8022B" w:rsidRPr="00112F1D">
        <w:rPr>
          <w:rFonts w:cs="Arial"/>
          <w:sz w:val="22"/>
          <w:szCs w:val="22"/>
        </w:rPr>
        <w:t xml:space="preserve"> </w:t>
      </w:r>
      <w:r w:rsidRPr="00112F1D">
        <w:rPr>
          <w:rFonts w:cs="Arial"/>
          <w:sz w:val="22"/>
          <w:szCs w:val="22"/>
        </w:rPr>
        <w:t>financial year</w:t>
      </w:r>
      <w:r w:rsidR="002953E6" w:rsidRPr="00112F1D">
        <w:rPr>
          <w:rFonts w:cs="Arial"/>
          <w:sz w:val="22"/>
          <w:szCs w:val="22"/>
        </w:rPr>
        <w:t>.</w:t>
      </w:r>
      <w:r w:rsidR="00C8022B" w:rsidRPr="00112F1D">
        <w:rPr>
          <w:rFonts w:cs="Arial"/>
          <w:sz w:val="22"/>
          <w:szCs w:val="22"/>
        </w:rPr>
        <w:t xml:space="preserve"> </w:t>
      </w:r>
      <w:r w:rsidR="00E56C5F" w:rsidRPr="00112F1D">
        <w:rPr>
          <w:rFonts w:cs="Arial"/>
          <w:sz w:val="22"/>
          <w:szCs w:val="22"/>
        </w:rPr>
        <w:t>The portion reflective as r</w:t>
      </w:r>
      <w:r w:rsidR="006A3C45" w:rsidRPr="00112F1D">
        <w:rPr>
          <w:rFonts w:cs="Arial"/>
          <w:sz w:val="22"/>
          <w:szCs w:val="22"/>
        </w:rPr>
        <w:t>ep</w:t>
      </w:r>
      <w:r w:rsidR="00C8022B" w:rsidRPr="00112F1D">
        <w:rPr>
          <w:rFonts w:cs="Arial"/>
          <w:sz w:val="22"/>
          <w:szCs w:val="22"/>
        </w:rPr>
        <w:t>airs and maintenan</w:t>
      </w:r>
      <w:r w:rsidR="00112F1D">
        <w:rPr>
          <w:rFonts w:cs="Arial"/>
          <w:sz w:val="22"/>
          <w:szCs w:val="22"/>
        </w:rPr>
        <w:t>ce is</w:t>
      </w:r>
      <w:r w:rsidR="00FD4C94">
        <w:rPr>
          <w:rFonts w:cs="Arial"/>
          <w:sz w:val="22"/>
          <w:szCs w:val="22"/>
        </w:rPr>
        <w:t xml:space="preserve"> 13</w:t>
      </w:r>
      <w:r w:rsidR="006F158E" w:rsidRPr="00112F1D">
        <w:rPr>
          <w:rFonts w:cs="Arial"/>
          <w:sz w:val="22"/>
          <w:szCs w:val="22"/>
        </w:rPr>
        <w:t xml:space="preserve"> percent</w:t>
      </w:r>
      <w:r w:rsidR="00E56C5F" w:rsidRPr="00112F1D">
        <w:rPr>
          <w:rFonts w:cs="Arial"/>
          <w:sz w:val="22"/>
          <w:szCs w:val="22"/>
        </w:rPr>
        <w:t xml:space="preserve"> o</w:t>
      </w:r>
      <w:r w:rsidR="00C30719" w:rsidRPr="00112F1D">
        <w:rPr>
          <w:rFonts w:cs="Arial"/>
          <w:sz w:val="22"/>
          <w:szCs w:val="22"/>
        </w:rPr>
        <w:t>f total operational expenditure. B</w:t>
      </w:r>
      <w:r w:rsidR="00E56C5F" w:rsidRPr="00112F1D">
        <w:rPr>
          <w:rFonts w:cs="Arial"/>
          <w:sz w:val="22"/>
          <w:szCs w:val="22"/>
        </w:rPr>
        <w:t xml:space="preserve">ulk of the cost associated with repairs and maintenance </w:t>
      </w:r>
      <w:r w:rsidR="00E92EC4" w:rsidRPr="00112F1D">
        <w:rPr>
          <w:rFonts w:cs="Arial"/>
          <w:sz w:val="22"/>
          <w:szCs w:val="22"/>
        </w:rPr>
        <w:t>comprises of employee costs</w:t>
      </w:r>
      <w:r w:rsidR="003B7E35">
        <w:rPr>
          <w:rFonts w:cs="Arial"/>
          <w:sz w:val="22"/>
          <w:szCs w:val="22"/>
        </w:rPr>
        <w:t>, which comprises 67</w:t>
      </w:r>
      <w:r w:rsidR="00C30719" w:rsidRPr="00112F1D">
        <w:rPr>
          <w:rFonts w:cs="Arial"/>
          <w:sz w:val="22"/>
          <w:szCs w:val="22"/>
        </w:rPr>
        <w:t>% of the total employee costs.</w:t>
      </w:r>
      <w:r w:rsidR="00C30719">
        <w:rPr>
          <w:rFonts w:cs="Arial"/>
          <w:sz w:val="22"/>
          <w:szCs w:val="22"/>
        </w:rPr>
        <w:t xml:space="preserve"> </w:t>
      </w:r>
    </w:p>
    <w:p w:rsidR="00112F1D" w:rsidRDefault="00112F1D" w:rsidP="006B215D">
      <w:pPr>
        <w:spacing w:line="276" w:lineRule="auto"/>
        <w:jc w:val="both"/>
        <w:rPr>
          <w:rFonts w:cs="Arial"/>
          <w:sz w:val="22"/>
          <w:szCs w:val="22"/>
        </w:rPr>
      </w:pPr>
    </w:p>
    <w:p w:rsidR="00112F1D" w:rsidRDefault="00112F1D" w:rsidP="006B215D">
      <w:pPr>
        <w:spacing w:line="276" w:lineRule="auto"/>
        <w:jc w:val="both"/>
        <w:rPr>
          <w:rFonts w:cs="Arial"/>
          <w:sz w:val="22"/>
          <w:szCs w:val="22"/>
        </w:rPr>
      </w:pPr>
      <w:r>
        <w:rPr>
          <w:rFonts w:cs="Arial"/>
          <w:sz w:val="22"/>
          <w:szCs w:val="22"/>
        </w:rPr>
        <w:t>The municipality decided to use the percentage of total operational expenditure instead of percentage of property, plant and equipment. The percentage of property, plan</w:t>
      </w:r>
      <w:r w:rsidR="003B7E35">
        <w:rPr>
          <w:rFonts w:cs="Arial"/>
          <w:sz w:val="22"/>
          <w:szCs w:val="22"/>
        </w:rPr>
        <w:t xml:space="preserve">t and </w:t>
      </w:r>
      <w:r w:rsidR="00FD4C94">
        <w:rPr>
          <w:rFonts w:cs="Arial"/>
          <w:sz w:val="22"/>
          <w:szCs w:val="22"/>
        </w:rPr>
        <w:t>equipment would</w:t>
      </w:r>
      <w:r w:rsidR="003B7E35">
        <w:rPr>
          <w:rFonts w:cs="Arial"/>
          <w:sz w:val="22"/>
          <w:szCs w:val="22"/>
        </w:rPr>
        <w:t xml:space="preserve"> require 48</w:t>
      </w:r>
      <w:r>
        <w:rPr>
          <w:rFonts w:cs="Arial"/>
          <w:sz w:val="22"/>
          <w:szCs w:val="22"/>
        </w:rPr>
        <w:t>% of the Equitable share to be allocated to Repairs and maintenance, as evident from the table below.</w:t>
      </w:r>
    </w:p>
    <w:p w:rsidR="00112F1D" w:rsidRDefault="00112F1D" w:rsidP="006B215D">
      <w:pPr>
        <w:spacing w:line="276" w:lineRule="auto"/>
        <w:jc w:val="both"/>
        <w:rPr>
          <w:rFonts w:cs="Arial"/>
          <w:sz w:val="22"/>
          <w:szCs w:val="22"/>
        </w:rPr>
      </w:pPr>
    </w:p>
    <w:p w:rsidR="00112F1D" w:rsidRPr="00521297" w:rsidRDefault="003B7E35" w:rsidP="006B215D">
      <w:pPr>
        <w:spacing w:line="276" w:lineRule="auto"/>
        <w:jc w:val="both"/>
        <w:rPr>
          <w:rFonts w:cs="Arial"/>
          <w:sz w:val="22"/>
          <w:szCs w:val="22"/>
        </w:rPr>
      </w:pPr>
      <w:r w:rsidRPr="003B7E35">
        <w:rPr>
          <w:noProof/>
          <w:szCs w:val="22"/>
        </w:rPr>
        <w:drawing>
          <wp:inline distT="0" distB="0" distL="0" distR="0">
            <wp:extent cx="6137910" cy="1310640"/>
            <wp:effectExtent l="1905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6142962" cy="1311719"/>
                    </a:xfrm>
                    <a:prstGeom prst="rect">
                      <a:avLst/>
                    </a:prstGeom>
                    <a:noFill/>
                    <a:ln w="9525">
                      <a:noFill/>
                      <a:miter lim="800000"/>
                      <a:headEnd/>
                      <a:tailEnd/>
                    </a:ln>
                  </pic:spPr>
                </pic:pic>
              </a:graphicData>
            </a:graphic>
          </wp:inline>
        </w:drawing>
      </w:r>
    </w:p>
    <w:p w:rsidR="00740BBA" w:rsidRDefault="00740BBA" w:rsidP="009F4202">
      <w:pPr>
        <w:pStyle w:val="Caption"/>
        <w:tabs>
          <w:tab w:val="left" w:pos="851"/>
        </w:tabs>
        <w:rPr>
          <w:color w:val="984806"/>
          <w:szCs w:val="22"/>
        </w:rPr>
      </w:pPr>
    </w:p>
    <w:p w:rsidR="003B7E35" w:rsidRDefault="003B7E35" w:rsidP="003B7E35">
      <w:pPr>
        <w:rPr>
          <w:lang w:val="en-ZA"/>
        </w:rPr>
      </w:pPr>
    </w:p>
    <w:p w:rsidR="00FD4C94" w:rsidRDefault="00FD4C94" w:rsidP="003B7E35">
      <w:pPr>
        <w:rPr>
          <w:lang w:val="en-ZA"/>
        </w:rPr>
      </w:pPr>
    </w:p>
    <w:p w:rsidR="00FD4C94" w:rsidRDefault="00FD4C94" w:rsidP="003B7E35">
      <w:pPr>
        <w:rPr>
          <w:lang w:val="en-ZA"/>
        </w:rPr>
      </w:pPr>
    </w:p>
    <w:p w:rsidR="00FD4C94" w:rsidRDefault="00FD4C94" w:rsidP="003B7E35">
      <w:pPr>
        <w:rPr>
          <w:lang w:val="en-ZA"/>
        </w:rPr>
      </w:pPr>
    </w:p>
    <w:p w:rsidR="003B7E35" w:rsidRDefault="003B7E35" w:rsidP="003B7E35">
      <w:pPr>
        <w:rPr>
          <w:lang w:val="en-ZA"/>
        </w:rPr>
      </w:pPr>
    </w:p>
    <w:p w:rsidR="003B7E35" w:rsidRDefault="003B7E35" w:rsidP="003B7E35">
      <w:pPr>
        <w:rPr>
          <w:lang w:val="en-ZA"/>
        </w:rPr>
      </w:pPr>
    </w:p>
    <w:p w:rsidR="003B7E35" w:rsidRDefault="003B7E35" w:rsidP="003B7E35">
      <w:pPr>
        <w:rPr>
          <w:lang w:val="en-ZA"/>
        </w:rPr>
      </w:pPr>
    </w:p>
    <w:p w:rsidR="003B7E35" w:rsidRDefault="003B7E35" w:rsidP="003B7E35">
      <w:pPr>
        <w:rPr>
          <w:lang w:val="en-ZA"/>
        </w:rPr>
      </w:pPr>
    </w:p>
    <w:p w:rsidR="003B7E35" w:rsidRPr="003B7E35" w:rsidRDefault="003B7E35" w:rsidP="003B7E35">
      <w:pPr>
        <w:rPr>
          <w:lang w:val="en-ZA"/>
        </w:rPr>
      </w:pPr>
    </w:p>
    <w:p w:rsidR="008044CB" w:rsidRPr="00521297" w:rsidRDefault="00397657" w:rsidP="00397657">
      <w:pPr>
        <w:pStyle w:val="Caption"/>
        <w:tabs>
          <w:tab w:val="left" w:pos="851"/>
        </w:tabs>
        <w:rPr>
          <w:color w:val="984806"/>
          <w:szCs w:val="22"/>
        </w:rPr>
      </w:pPr>
      <w:bookmarkStart w:id="52" w:name="_Toc509209324"/>
      <w:r w:rsidRPr="00521297">
        <w:rPr>
          <w:color w:val="984806"/>
          <w:szCs w:val="22"/>
        </w:rPr>
        <w:lastRenderedPageBreak/>
        <w:t>Fig 3:</w:t>
      </w:r>
      <w:r w:rsidR="003B7E35">
        <w:rPr>
          <w:color w:val="984806"/>
          <w:szCs w:val="22"/>
        </w:rPr>
        <w:t xml:space="preserve"> Expenditure by major type – 2020</w:t>
      </w:r>
      <w:r w:rsidRPr="00521297">
        <w:rPr>
          <w:color w:val="984806"/>
          <w:szCs w:val="22"/>
        </w:rPr>
        <w:t>/</w:t>
      </w:r>
      <w:bookmarkEnd w:id="52"/>
      <w:r w:rsidR="003B7E35">
        <w:rPr>
          <w:color w:val="984806"/>
          <w:szCs w:val="22"/>
        </w:rPr>
        <w:t>21</w:t>
      </w:r>
    </w:p>
    <w:p w:rsidR="00704474" w:rsidRDefault="00FD4C94" w:rsidP="000A5665">
      <w:pPr>
        <w:spacing w:line="276" w:lineRule="auto"/>
        <w:jc w:val="center"/>
        <w:rPr>
          <w:rFonts w:cs="Arial"/>
          <w:sz w:val="20"/>
          <w:szCs w:val="20"/>
        </w:rPr>
      </w:pPr>
      <w:r>
        <w:rPr>
          <w:rFonts w:cs="Arial"/>
          <w:noProof/>
          <w:sz w:val="20"/>
          <w:szCs w:val="20"/>
        </w:rPr>
        <w:drawing>
          <wp:inline distT="0" distB="0" distL="0" distR="0">
            <wp:extent cx="6248400" cy="38862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6248400" cy="3886200"/>
                    </a:xfrm>
                    <a:prstGeom prst="rect">
                      <a:avLst/>
                    </a:prstGeom>
                    <a:noFill/>
                  </pic:spPr>
                </pic:pic>
              </a:graphicData>
            </a:graphic>
          </wp:inline>
        </w:drawing>
      </w:r>
    </w:p>
    <w:p w:rsidR="00112F1D" w:rsidRDefault="00112F1D" w:rsidP="00E775EE">
      <w:pPr>
        <w:spacing w:line="276" w:lineRule="auto"/>
        <w:jc w:val="both"/>
        <w:rPr>
          <w:rFonts w:cs="Arial"/>
          <w:b/>
          <w:sz w:val="22"/>
          <w:szCs w:val="22"/>
          <w:lang w:val="en-GB"/>
        </w:rPr>
      </w:pPr>
    </w:p>
    <w:p w:rsidR="00704474" w:rsidRPr="00C30719" w:rsidRDefault="00704474" w:rsidP="00E775EE">
      <w:pPr>
        <w:spacing w:line="276" w:lineRule="auto"/>
        <w:jc w:val="both"/>
        <w:rPr>
          <w:rFonts w:cs="Arial"/>
          <w:b/>
          <w:sz w:val="22"/>
          <w:szCs w:val="22"/>
        </w:rPr>
      </w:pPr>
      <w:r w:rsidRPr="00C30719">
        <w:rPr>
          <w:rFonts w:cs="Arial"/>
          <w:b/>
          <w:sz w:val="22"/>
          <w:szCs w:val="22"/>
          <w:lang w:val="en-GB"/>
        </w:rPr>
        <w:t>Free Basic Services: Basic Social Services Package</w:t>
      </w:r>
    </w:p>
    <w:p w:rsidR="00704474" w:rsidRPr="00C30719" w:rsidRDefault="00704474" w:rsidP="006B215D">
      <w:pPr>
        <w:spacing w:line="276" w:lineRule="auto"/>
        <w:jc w:val="both"/>
        <w:rPr>
          <w:rFonts w:cs="Arial"/>
          <w:sz w:val="22"/>
          <w:szCs w:val="22"/>
        </w:rPr>
      </w:pPr>
    </w:p>
    <w:p w:rsidR="00BF6B8B" w:rsidRPr="00C30719" w:rsidRDefault="008044CB" w:rsidP="006B215D">
      <w:pPr>
        <w:spacing w:line="276" w:lineRule="auto"/>
        <w:jc w:val="both"/>
        <w:rPr>
          <w:rFonts w:cs="Arial"/>
          <w:sz w:val="22"/>
          <w:szCs w:val="22"/>
        </w:rPr>
      </w:pPr>
      <w:r w:rsidRPr="00C30719">
        <w:rPr>
          <w:rFonts w:cs="Arial"/>
          <w:sz w:val="22"/>
          <w:szCs w:val="22"/>
        </w:rPr>
        <w:t xml:space="preserve">The social package assists households that are poor or face other circumstances that limit their ability to pay for services. To receive these free services the households are required to register in terms of the </w:t>
      </w:r>
      <w:r w:rsidR="00A52B13" w:rsidRPr="00C30719">
        <w:rPr>
          <w:rFonts w:cs="Arial"/>
          <w:sz w:val="22"/>
          <w:szCs w:val="22"/>
        </w:rPr>
        <w:t>Municipality</w:t>
      </w:r>
      <w:r w:rsidRPr="00C30719">
        <w:rPr>
          <w:rFonts w:cs="Arial"/>
          <w:sz w:val="22"/>
          <w:szCs w:val="22"/>
        </w:rPr>
        <w:t>’s Indigent Poli</w:t>
      </w:r>
      <w:r w:rsidR="00BF6B8B" w:rsidRPr="00C30719">
        <w:rPr>
          <w:rFonts w:cs="Arial"/>
          <w:sz w:val="22"/>
          <w:szCs w:val="22"/>
        </w:rPr>
        <w:t xml:space="preserve">cy.  </w:t>
      </w:r>
      <w:r w:rsidR="000A2B13" w:rsidRPr="00C30719">
        <w:rPr>
          <w:rFonts w:cs="Arial"/>
          <w:sz w:val="22"/>
          <w:szCs w:val="22"/>
        </w:rPr>
        <w:t>The qualifying indigents will be provided with 6kl of water per month</w:t>
      </w:r>
    </w:p>
    <w:p w:rsidR="008044CB" w:rsidRPr="00C30719" w:rsidRDefault="008044CB"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C93E2C" w:rsidRDefault="00C93E2C" w:rsidP="006B215D">
      <w:pPr>
        <w:spacing w:line="276" w:lineRule="auto"/>
        <w:jc w:val="both"/>
        <w:rPr>
          <w:rFonts w:cs="Arial"/>
          <w:sz w:val="22"/>
          <w:szCs w:val="22"/>
        </w:rPr>
      </w:pPr>
    </w:p>
    <w:p w:rsidR="005063D8" w:rsidRDefault="005063D8" w:rsidP="006B215D">
      <w:pPr>
        <w:spacing w:line="276" w:lineRule="auto"/>
        <w:jc w:val="both"/>
        <w:rPr>
          <w:rFonts w:cs="Arial"/>
          <w:sz w:val="22"/>
          <w:szCs w:val="22"/>
        </w:rPr>
      </w:pPr>
    </w:p>
    <w:p w:rsidR="008044CB" w:rsidRPr="000726C6" w:rsidRDefault="008044CB" w:rsidP="00A46A8E">
      <w:pPr>
        <w:pStyle w:val="Heading2"/>
        <w:ind w:left="567" w:hanging="567"/>
        <w:rPr>
          <w:color w:val="984806"/>
          <w:szCs w:val="24"/>
        </w:rPr>
      </w:pPr>
      <w:bookmarkStart w:id="53" w:name="_Toc286117316"/>
      <w:bookmarkStart w:id="54" w:name="_Toc287342527"/>
      <w:bookmarkStart w:id="55" w:name="_Toc287797004"/>
      <w:bookmarkStart w:id="56" w:name="_Toc356917069"/>
      <w:bookmarkStart w:id="57" w:name="_Toc3962566"/>
      <w:r w:rsidRPr="000726C6">
        <w:rPr>
          <w:color w:val="984806"/>
          <w:szCs w:val="24"/>
        </w:rPr>
        <w:lastRenderedPageBreak/>
        <w:t>Capital expenditure</w:t>
      </w:r>
      <w:bookmarkEnd w:id="53"/>
      <w:bookmarkEnd w:id="54"/>
      <w:bookmarkEnd w:id="55"/>
      <w:bookmarkEnd w:id="56"/>
      <w:bookmarkEnd w:id="57"/>
    </w:p>
    <w:p w:rsidR="008044CB" w:rsidRPr="006B215D" w:rsidRDefault="008044CB" w:rsidP="006B215D">
      <w:pPr>
        <w:spacing w:line="276" w:lineRule="auto"/>
        <w:jc w:val="both"/>
        <w:rPr>
          <w:rFonts w:cs="Arial"/>
          <w:sz w:val="20"/>
          <w:szCs w:val="20"/>
        </w:rPr>
      </w:pPr>
    </w:p>
    <w:p w:rsidR="008044CB" w:rsidRPr="006B215D" w:rsidRDefault="008044CB" w:rsidP="006B215D">
      <w:pPr>
        <w:spacing w:line="276" w:lineRule="auto"/>
        <w:jc w:val="both"/>
        <w:rPr>
          <w:rFonts w:cs="Arial"/>
          <w:sz w:val="20"/>
          <w:szCs w:val="20"/>
        </w:rPr>
      </w:pPr>
      <w:r w:rsidRPr="006B215D">
        <w:rPr>
          <w:rFonts w:cs="Arial"/>
          <w:sz w:val="20"/>
          <w:szCs w:val="20"/>
        </w:rPr>
        <w:t>The following table provides a breakdown of budgeted capital expenditure by vote</w:t>
      </w:r>
      <w:r w:rsidR="003B2AF3">
        <w:rPr>
          <w:rFonts w:cs="Arial"/>
          <w:sz w:val="20"/>
          <w:szCs w:val="20"/>
        </w:rPr>
        <w:t>, functional classification and funding</w:t>
      </w:r>
      <w:r w:rsidRPr="006B215D">
        <w:rPr>
          <w:rFonts w:cs="Arial"/>
          <w:sz w:val="20"/>
          <w:szCs w:val="20"/>
        </w:rPr>
        <w:t>:</w:t>
      </w:r>
    </w:p>
    <w:p w:rsidR="008044CB" w:rsidRPr="00417422" w:rsidRDefault="003B2AF3" w:rsidP="00AD05F0">
      <w:pPr>
        <w:pStyle w:val="Caption"/>
        <w:tabs>
          <w:tab w:val="left" w:pos="851"/>
        </w:tabs>
        <w:rPr>
          <w:color w:val="984806"/>
          <w:sz w:val="20"/>
          <w:szCs w:val="20"/>
        </w:rPr>
      </w:pPr>
      <w:bookmarkStart w:id="58" w:name="_Toc287342457"/>
      <w:r>
        <w:rPr>
          <w:color w:val="984806"/>
          <w:sz w:val="20"/>
          <w:szCs w:val="20"/>
        </w:rPr>
        <w:br/>
      </w:r>
      <w:bookmarkStart w:id="59" w:name="_Toc509209325"/>
      <w:r w:rsidR="008044CB" w:rsidRPr="00DE2254">
        <w:rPr>
          <w:color w:val="984806"/>
          <w:sz w:val="20"/>
          <w:szCs w:val="20"/>
        </w:rPr>
        <w:t xml:space="preserve">Table </w:t>
      </w:r>
      <w:r w:rsidR="00CA154D" w:rsidRPr="00DE2254">
        <w:rPr>
          <w:color w:val="984806"/>
          <w:sz w:val="20"/>
          <w:szCs w:val="20"/>
        </w:rPr>
        <w:t>7</w:t>
      </w:r>
      <w:r w:rsidR="009C1E5D" w:rsidRPr="00DE2254">
        <w:rPr>
          <w:color w:val="984806"/>
          <w:sz w:val="20"/>
          <w:szCs w:val="20"/>
        </w:rPr>
        <w:tab/>
      </w:r>
      <w:r w:rsidR="003B7BEF" w:rsidRPr="00DE2254">
        <w:rPr>
          <w:color w:val="984806"/>
          <w:sz w:val="20"/>
          <w:szCs w:val="20"/>
        </w:rPr>
        <w:t>2</w:t>
      </w:r>
      <w:r w:rsidR="003B7E35">
        <w:rPr>
          <w:color w:val="984806"/>
          <w:sz w:val="20"/>
          <w:szCs w:val="20"/>
        </w:rPr>
        <w:t>020/21</w:t>
      </w:r>
      <w:r w:rsidR="00C93E2C" w:rsidRPr="00DE2254">
        <w:rPr>
          <w:color w:val="984806"/>
          <w:sz w:val="20"/>
          <w:szCs w:val="20"/>
        </w:rPr>
        <w:t xml:space="preserve"> </w:t>
      </w:r>
      <w:r w:rsidR="008044CB" w:rsidRPr="00DE2254">
        <w:rPr>
          <w:color w:val="984806"/>
          <w:sz w:val="20"/>
          <w:szCs w:val="20"/>
        </w:rPr>
        <w:t>Medium-term capital budget per vote</w:t>
      </w:r>
      <w:bookmarkEnd w:id="58"/>
      <w:bookmarkEnd w:id="59"/>
    </w:p>
    <w:p w:rsidR="00DB19D4" w:rsidRPr="00417422" w:rsidRDefault="00FD4C94" w:rsidP="00DB19D4">
      <w:pPr>
        <w:rPr>
          <w:color w:val="984806"/>
          <w:lang w:val="en-ZA"/>
        </w:rPr>
      </w:pPr>
      <w:r w:rsidRPr="00FD4C94">
        <w:drawing>
          <wp:inline distT="0" distB="0" distL="0" distR="0">
            <wp:extent cx="6545580" cy="7387590"/>
            <wp:effectExtent l="19050" t="0" r="762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6545580" cy="7387590"/>
                    </a:xfrm>
                    <a:prstGeom prst="rect">
                      <a:avLst/>
                    </a:prstGeom>
                    <a:noFill/>
                    <a:ln w="9525">
                      <a:noFill/>
                      <a:miter lim="800000"/>
                      <a:headEnd/>
                      <a:tailEnd/>
                    </a:ln>
                  </pic:spPr>
                </pic:pic>
              </a:graphicData>
            </a:graphic>
          </wp:inline>
        </w:drawing>
      </w:r>
    </w:p>
    <w:p w:rsidR="00BF6B8B" w:rsidRDefault="00BF6B8B" w:rsidP="00B90E11">
      <w:pPr>
        <w:rPr>
          <w:rFonts w:cs="Arial"/>
          <w:sz w:val="20"/>
          <w:szCs w:val="20"/>
        </w:rPr>
      </w:pPr>
    </w:p>
    <w:p w:rsidR="00C93E2C" w:rsidRDefault="00C93E2C" w:rsidP="006B215D">
      <w:pPr>
        <w:spacing w:line="276" w:lineRule="auto"/>
        <w:jc w:val="both"/>
        <w:rPr>
          <w:rFonts w:cs="Arial"/>
          <w:sz w:val="22"/>
          <w:szCs w:val="22"/>
        </w:rPr>
      </w:pPr>
    </w:p>
    <w:p w:rsidR="008044CB" w:rsidRPr="003979D6" w:rsidRDefault="008044CB" w:rsidP="006B215D">
      <w:pPr>
        <w:spacing w:line="276" w:lineRule="auto"/>
        <w:jc w:val="both"/>
        <w:rPr>
          <w:rFonts w:cs="Arial"/>
          <w:sz w:val="22"/>
          <w:szCs w:val="22"/>
        </w:rPr>
      </w:pPr>
    </w:p>
    <w:p w:rsidR="003979D6" w:rsidRDefault="003979D6" w:rsidP="006B215D">
      <w:pPr>
        <w:spacing w:line="276" w:lineRule="auto"/>
        <w:jc w:val="both"/>
        <w:rPr>
          <w:rFonts w:cs="Arial"/>
          <w:sz w:val="20"/>
          <w:szCs w:val="20"/>
        </w:rPr>
        <w:sectPr w:rsidR="003979D6" w:rsidSect="004062C3">
          <w:pgSz w:w="11907" w:h="16840" w:code="9"/>
          <w:pgMar w:top="1134" w:right="1134" w:bottom="1134" w:left="1134" w:header="720" w:footer="720" w:gutter="0"/>
          <w:cols w:space="720" w:equalWidth="0">
            <w:col w:w="9659"/>
          </w:cols>
          <w:noEndnote/>
          <w:docGrid w:linePitch="360"/>
        </w:sectPr>
      </w:pPr>
    </w:p>
    <w:p w:rsidR="008044CB" w:rsidRPr="00CA154D" w:rsidRDefault="008044CB" w:rsidP="00A46A8E">
      <w:pPr>
        <w:pStyle w:val="Heading2"/>
        <w:ind w:left="567" w:hanging="567"/>
        <w:rPr>
          <w:color w:val="984806"/>
          <w:szCs w:val="24"/>
        </w:rPr>
      </w:pPr>
      <w:bookmarkStart w:id="60" w:name="_Toc286034100"/>
      <w:bookmarkStart w:id="61" w:name="_Toc286034691"/>
      <w:bookmarkStart w:id="62" w:name="_Toc286041437"/>
      <w:bookmarkStart w:id="63" w:name="_Toc286041506"/>
      <w:bookmarkStart w:id="64" w:name="_Toc286117317"/>
      <w:bookmarkStart w:id="65" w:name="_Toc287342528"/>
      <w:bookmarkStart w:id="66" w:name="_Toc287797006"/>
      <w:bookmarkStart w:id="67" w:name="_Toc356917070"/>
      <w:bookmarkStart w:id="68" w:name="_Toc3962567"/>
      <w:r w:rsidRPr="00CA154D">
        <w:rPr>
          <w:color w:val="984806"/>
          <w:szCs w:val="24"/>
        </w:rPr>
        <w:lastRenderedPageBreak/>
        <w:t>Annual Budget Tables</w:t>
      </w:r>
      <w:bookmarkEnd w:id="60"/>
      <w:bookmarkEnd w:id="61"/>
      <w:bookmarkEnd w:id="62"/>
      <w:bookmarkEnd w:id="63"/>
      <w:bookmarkEnd w:id="64"/>
      <w:bookmarkEnd w:id="65"/>
      <w:bookmarkEnd w:id="66"/>
      <w:bookmarkEnd w:id="67"/>
      <w:bookmarkEnd w:id="68"/>
    </w:p>
    <w:p w:rsidR="008044CB" w:rsidRPr="006B215D" w:rsidRDefault="008044CB" w:rsidP="00C373F4">
      <w:pPr>
        <w:pStyle w:val="Heading2"/>
        <w:numPr>
          <w:ilvl w:val="0"/>
          <w:numId w:val="0"/>
        </w:numPr>
        <w:spacing w:line="276" w:lineRule="auto"/>
        <w:ind w:left="709"/>
        <w:rPr>
          <w:rFonts w:cs="Arial"/>
          <w:b w:val="0"/>
          <w:color w:val="000060"/>
          <w:sz w:val="20"/>
        </w:rPr>
      </w:pPr>
    </w:p>
    <w:p w:rsidR="008044CB" w:rsidRPr="003979D6" w:rsidRDefault="008044CB" w:rsidP="008150E2">
      <w:pPr>
        <w:spacing w:line="276" w:lineRule="auto"/>
        <w:jc w:val="both"/>
        <w:rPr>
          <w:rFonts w:cs="Arial"/>
          <w:sz w:val="22"/>
          <w:szCs w:val="22"/>
        </w:rPr>
      </w:pPr>
      <w:r w:rsidRPr="003979D6">
        <w:rPr>
          <w:rFonts w:cs="Arial"/>
          <w:sz w:val="22"/>
          <w:szCs w:val="22"/>
        </w:rPr>
        <w:t xml:space="preserve">The following pages present the main budget tables as required in terms of section 8 of the </w:t>
      </w:r>
      <w:r w:rsidRPr="00A53F89">
        <w:rPr>
          <w:rFonts w:cs="Arial"/>
          <w:sz w:val="22"/>
          <w:szCs w:val="22"/>
        </w:rPr>
        <w:t>Municipal Budget and Reporting Regulations. These tables</w:t>
      </w:r>
      <w:r w:rsidR="007124AF" w:rsidRPr="00A53F89">
        <w:rPr>
          <w:rFonts w:cs="Arial"/>
          <w:sz w:val="22"/>
          <w:szCs w:val="22"/>
        </w:rPr>
        <w:t xml:space="preserve"> set out the municipality’s </w:t>
      </w:r>
      <w:r w:rsidR="003B7E35">
        <w:rPr>
          <w:rFonts w:cs="Arial"/>
          <w:sz w:val="22"/>
          <w:szCs w:val="22"/>
        </w:rPr>
        <w:t>2020/21</w:t>
      </w:r>
      <w:r w:rsidR="00604F89" w:rsidRPr="00A53F89">
        <w:rPr>
          <w:rFonts w:cs="Arial"/>
          <w:sz w:val="22"/>
          <w:szCs w:val="22"/>
        </w:rPr>
        <w:t xml:space="preserve"> </w:t>
      </w:r>
      <w:r w:rsidRPr="00A53F89">
        <w:rPr>
          <w:rFonts w:cs="Arial"/>
          <w:sz w:val="22"/>
          <w:szCs w:val="22"/>
        </w:rPr>
        <w:t>budget and MTREF as approved by the Council. Each table is accompanied by explanatory notes on the facing page.</w:t>
      </w:r>
    </w:p>
    <w:p w:rsidR="00BC5DFB" w:rsidRDefault="00736C5B" w:rsidP="004519F3">
      <w:pPr>
        <w:pStyle w:val="Caption"/>
        <w:tabs>
          <w:tab w:val="left" w:pos="851"/>
        </w:tabs>
        <w:rPr>
          <w:color w:val="984806"/>
          <w:szCs w:val="22"/>
        </w:rPr>
      </w:pPr>
      <w:bookmarkStart w:id="69" w:name="_Toc356917093"/>
      <w:r w:rsidRPr="003979D6">
        <w:rPr>
          <w:color w:val="984806"/>
          <w:szCs w:val="22"/>
        </w:rPr>
        <w:br/>
      </w:r>
      <w:bookmarkStart w:id="70" w:name="_Toc509209326"/>
      <w:r w:rsidR="004A1642" w:rsidRPr="00DE2254">
        <w:rPr>
          <w:color w:val="984806"/>
          <w:szCs w:val="22"/>
        </w:rPr>
        <w:t xml:space="preserve">Table </w:t>
      </w:r>
      <w:r w:rsidR="00CA154D" w:rsidRPr="00DE2254">
        <w:rPr>
          <w:color w:val="984806"/>
          <w:szCs w:val="22"/>
        </w:rPr>
        <w:t>8</w:t>
      </w:r>
      <w:r w:rsidR="004A1642" w:rsidRPr="00DE2254">
        <w:rPr>
          <w:color w:val="984806"/>
          <w:szCs w:val="22"/>
        </w:rPr>
        <w:tab/>
        <w:t>MBRR NT A1 - Budget Summary</w:t>
      </w:r>
      <w:bookmarkEnd w:id="69"/>
      <w:bookmarkEnd w:id="70"/>
    </w:p>
    <w:p w:rsidR="008150E2" w:rsidRPr="00BC5DFB" w:rsidRDefault="00FD4C94" w:rsidP="00BC5DFB">
      <w:pPr>
        <w:tabs>
          <w:tab w:val="left" w:pos="851"/>
        </w:tabs>
        <w:rPr>
          <w:lang w:val="en-ZA"/>
        </w:rPr>
      </w:pPr>
      <w:r w:rsidRPr="00FD4C94">
        <w:drawing>
          <wp:anchor distT="0" distB="0" distL="114300" distR="114300" simplePos="0" relativeHeight="251704320" behindDoc="1" locked="0" layoutInCell="1" allowOverlap="1">
            <wp:simplePos x="0" y="0"/>
            <wp:positionH relativeFrom="column">
              <wp:posOffset>19050</wp:posOffset>
            </wp:positionH>
            <wp:positionV relativeFrom="paragraph">
              <wp:posOffset>1270</wp:posOffset>
            </wp:positionV>
            <wp:extent cx="9551670" cy="4347210"/>
            <wp:effectExtent l="1905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9551670" cy="4347210"/>
                    </a:xfrm>
                    <a:prstGeom prst="rect">
                      <a:avLst/>
                    </a:prstGeom>
                    <a:noFill/>
                    <a:ln w="9525">
                      <a:noFill/>
                      <a:miter lim="800000"/>
                      <a:headEnd/>
                      <a:tailEnd/>
                    </a:ln>
                  </pic:spPr>
                </pic:pic>
              </a:graphicData>
            </a:graphic>
          </wp:anchor>
        </w:drawing>
      </w:r>
      <w:r w:rsidR="00BC5DFB">
        <w:rPr>
          <w:lang w:val="en-ZA"/>
        </w:rPr>
        <w:tab/>
      </w:r>
    </w:p>
    <w:p w:rsidR="006D722D" w:rsidRDefault="00D61EA3" w:rsidP="008150E2">
      <w:pPr>
        <w:rPr>
          <w:lang w:val="en-ZA"/>
        </w:rPr>
      </w:pPr>
      <w:r w:rsidRPr="00D61EA3">
        <w:lastRenderedPageBreak/>
        <w:drawing>
          <wp:anchor distT="0" distB="0" distL="114300" distR="114300" simplePos="0" relativeHeight="251707392" behindDoc="1" locked="0" layoutInCell="1" allowOverlap="1">
            <wp:simplePos x="0" y="0"/>
            <wp:positionH relativeFrom="column">
              <wp:posOffset>0</wp:posOffset>
            </wp:positionH>
            <wp:positionV relativeFrom="paragraph">
              <wp:posOffset>1287780</wp:posOffset>
            </wp:positionV>
            <wp:extent cx="9330690" cy="4191000"/>
            <wp:effectExtent l="19050" t="0" r="3810" b="0"/>
            <wp:wrapTight wrapText="bothSides">
              <wp:wrapPolygon edited="0">
                <wp:start x="-44" y="0"/>
                <wp:lineTo x="-44" y="21404"/>
                <wp:lineTo x="21609" y="21404"/>
                <wp:lineTo x="21609" y="0"/>
                <wp:lineTo x="-44" y="0"/>
              </wp:wrapPolygon>
            </wp:wrapTight>
            <wp:docPr id="5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srcRect/>
                    <a:stretch>
                      <a:fillRect/>
                    </a:stretch>
                  </pic:blipFill>
                  <pic:spPr bwMode="auto">
                    <a:xfrm>
                      <a:off x="0" y="0"/>
                      <a:ext cx="9330690" cy="4191000"/>
                    </a:xfrm>
                    <a:prstGeom prst="rect">
                      <a:avLst/>
                    </a:prstGeom>
                    <a:noFill/>
                    <a:ln w="9525">
                      <a:noFill/>
                      <a:miter lim="800000"/>
                      <a:headEnd/>
                      <a:tailEnd/>
                    </a:ln>
                  </pic:spPr>
                </pic:pic>
              </a:graphicData>
            </a:graphic>
          </wp:anchor>
        </w:drawing>
      </w:r>
      <w:r w:rsidR="00611BA9">
        <w:rPr>
          <w:noProof/>
        </w:rPr>
        <w:drawing>
          <wp:anchor distT="0" distB="0" distL="114300" distR="114300" simplePos="0" relativeHeight="251694080" behindDoc="0" locked="0" layoutInCell="1" allowOverlap="1">
            <wp:simplePos x="0" y="0"/>
            <wp:positionH relativeFrom="column">
              <wp:posOffset>15240</wp:posOffset>
            </wp:positionH>
            <wp:positionV relativeFrom="paragraph">
              <wp:posOffset>175260</wp:posOffset>
            </wp:positionV>
            <wp:extent cx="9315450" cy="1112520"/>
            <wp:effectExtent l="19050" t="0" r="0" b="0"/>
            <wp:wrapSquare wrapText="bothSides"/>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9315450" cy="1112520"/>
                    </a:xfrm>
                    <a:prstGeom prst="rect">
                      <a:avLst/>
                    </a:prstGeom>
                    <a:noFill/>
                    <a:ln w="9525">
                      <a:noFill/>
                      <a:miter lim="800000"/>
                      <a:headEnd/>
                      <a:tailEnd/>
                    </a:ln>
                  </pic:spPr>
                </pic:pic>
              </a:graphicData>
            </a:graphic>
          </wp:anchor>
        </w:drawing>
      </w:r>
    </w:p>
    <w:p w:rsidR="003B7E35" w:rsidRDefault="003B7E35" w:rsidP="004A1642">
      <w:pPr>
        <w:spacing w:line="276" w:lineRule="auto"/>
        <w:jc w:val="both"/>
        <w:rPr>
          <w:rFonts w:cs="Arial"/>
          <w:b/>
          <w:sz w:val="22"/>
          <w:szCs w:val="22"/>
        </w:rPr>
      </w:pPr>
    </w:p>
    <w:p w:rsidR="003B7E35" w:rsidRPr="003B7E35" w:rsidRDefault="003B7E35" w:rsidP="003B7E35">
      <w:pPr>
        <w:tabs>
          <w:tab w:val="left" w:pos="1716"/>
        </w:tabs>
        <w:rPr>
          <w:rFonts w:cs="Arial"/>
          <w:sz w:val="22"/>
          <w:szCs w:val="22"/>
        </w:rPr>
      </w:pPr>
      <w:r>
        <w:rPr>
          <w:rFonts w:cs="Arial"/>
          <w:sz w:val="22"/>
          <w:szCs w:val="22"/>
        </w:rPr>
        <w:tab/>
      </w:r>
    </w:p>
    <w:p w:rsidR="003B7E35" w:rsidRPr="003B7E35" w:rsidRDefault="003B7E35" w:rsidP="003B7E35">
      <w:pPr>
        <w:rPr>
          <w:rFonts w:cs="Arial"/>
          <w:sz w:val="22"/>
          <w:szCs w:val="22"/>
        </w:rPr>
      </w:pPr>
    </w:p>
    <w:p w:rsidR="003979D6" w:rsidRPr="003B7E35" w:rsidRDefault="003979D6" w:rsidP="003B7E35">
      <w:pPr>
        <w:rPr>
          <w:rFonts w:cs="Arial"/>
          <w:sz w:val="22"/>
          <w:szCs w:val="22"/>
        </w:rPr>
        <w:sectPr w:rsidR="003979D6" w:rsidRPr="003B7E35" w:rsidSect="003979D6">
          <w:pgSz w:w="16840" w:h="11907" w:orient="landscape" w:code="9"/>
          <w:pgMar w:top="1134" w:right="1134" w:bottom="1134" w:left="1134" w:header="720" w:footer="720" w:gutter="0"/>
          <w:cols w:space="720" w:equalWidth="0">
            <w:col w:w="9659"/>
          </w:cols>
          <w:noEndnote/>
          <w:docGrid w:linePitch="360"/>
        </w:sectPr>
      </w:pPr>
    </w:p>
    <w:p w:rsidR="004A1642" w:rsidRPr="003979D6" w:rsidRDefault="004A1642" w:rsidP="004A1642">
      <w:pPr>
        <w:spacing w:line="276" w:lineRule="auto"/>
        <w:jc w:val="both"/>
        <w:rPr>
          <w:rFonts w:cs="Arial"/>
          <w:b/>
          <w:sz w:val="22"/>
          <w:szCs w:val="22"/>
        </w:rPr>
      </w:pPr>
      <w:r w:rsidRPr="003979D6">
        <w:rPr>
          <w:rFonts w:cs="Arial"/>
          <w:b/>
          <w:sz w:val="22"/>
          <w:szCs w:val="22"/>
        </w:rPr>
        <w:lastRenderedPageBreak/>
        <w:t xml:space="preserve">Explanatory notes to MBRR Table A1 - Budget Summary </w:t>
      </w:r>
    </w:p>
    <w:p w:rsidR="004A1642" w:rsidRPr="003979D6" w:rsidRDefault="004A1642" w:rsidP="004A1642">
      <w:pPr>
        <w:spacing w:line="276" w:lineRule="auto"/>
        <w:jc w:val="both"/>
        <w:rPr>
          <w:rFonts w:cs="Arial"/>
          <w:sz w:val="22"/>
          <w:szCs w:val="22"/>
        </w:rPr>
      </w:pPr>
    </w:p>
    <w:p w:rsidR="004A1642" w:rsidRPr="003979D6" w:rsidRDefault="004A1642" w:rsidP="004A1642">
      <w:pPr>
        <w:pStyle w:val="ListParagraph"/>
        <w:numPr>
          <w:ilvl w:val="0"/>
          <w:numId w:val="6"/>
        </w:numPr>
        <w:spacing w:after="0"/>
        <w:contextualSpacing/>
        <w:jc w:val="both"/>
        <w:rPr>
          <w:rFonts w:ascii="Arial" w:hAnsi="Arial" w:cs="Arial"/>
        </w:rPr>
      </w:pPr>
      <w:r w:rsidRPr="003979D6">
        <w:rPr>
          <w:rFonts w:ascii="Arial" w:hAnsi="Arial" w:cs="Arial"/>
        </w:rPr>
        <w:t xml:space="preserve">Table A1 is a budget summary and provides a concise overview of the Municipality’s budget from all of the major financial perspectives (operating, capital expenditure, financial position, cash flow, and MFMA funding compliance). </w:t>
      </w:r>
    </w:p>
    <w:p w:rsidR="004A1642" w:rsidRPr="003979D6" w:rsidRDefault="004A1642" w:rsidP="004A1642">
      <w:pPr>
        <w:pStyle w:val="ListParagraph"/>
        <w:numPr>
          <w:ilvl w:val="0"/>
          <w:numId w:val="6"/>
        </w:numPr>
        <w:spacing w:after="0"/>
        <w:contextualSpacing/>
        <w:jc w:val="both"/>
        <w:rPr>
          <w:rFonts w:ascii="Arial" w:hAnsi="Arial" w:cs="Arial"/>
        </w:rPr>
      </w:pPr>
      <w:r w:rsidRPr="003979D6">
        <w:rPr>
          <w:rFonts w:ascii="Arial" w:hAnsi="Arial" w:cs="Arial"/>
        </w:rPr>
        <w:t>The table provides an overview of the amounts approved by Council for operating performance, resources deployed to capital expenditure, financial position, cash and funding compliance, as well as the municipality’s commitment to eliminating basic service delivery backlogs.</w:t>
      </w:r>
    </w:p>
    <w:p w:rsidR="004A1642" w:rsidRPr="003979D6" w:rsidRDefault="004A1642" w:rsidP="004A1642">
      <w:pPr>
        <w:pStyle w:val="ListParagraph"/>
        <w:numPr>
          <w:ilvl w:val="0"/>
          <w:numId w:val="6"/>
        </w:numPr>
        <w:spacing w:after="0"/>
        <w:contextualSpacing/>
        <w:jc w:val="both"/>
        <w:rPr>
          <w:rFonts w:ascii="Arial" w:hAnsi="Arial" w:cs="Arial"/>
        </w:rPr>
      </w:pPr>
      <w:r w:rsidRPr="003979D6">
        <w:rPr>
          <w:rFonts w:ascii="Arial" w:hAnsi="Arial" w:cs="Arial"/>
        </w:rPr>
        <w:t>Financial management reforms emphasises the importance of the municipal budget being funded. This requires the simultaneous assessment of the Financial Performance, Financial Position and Cash Flow Budgets, along with the Capital Budget. The Budget Summary provides the key information in this regard:</w:t>
      </w:r>
    </w:p>
    <w:p w:rsidR="004A1642" w:rsidRPr="003979D6" w:rsidRDefault="004A1642" w:rsidP="004A1642">
      <w:pPr>
        <w:pStyle w:val="ListParagraph"/>
        <w:numPr>
          <w:ilvl w:val="1"/>
          <w:numId w:val="6"/>
        </w:numPr>
        <w:spacing w:after="0"/>
        <w:contextualSpacing/>
        <w:jc w:val="both"/>
        <w:rPr>
          <w:rFonts w:ascii="Arial" w:hAnsi="Arial" w:cs="Arial"/>
        </w:rPr>
      </w:pPr>
      <w:r w:rsidRPr="003979D6">
        <w:rPr>
          <w:rFonts w:ascii="Arial" w:hAnsi="Arial" w:cs="Arial"/>
        </w:rPr>
        <w:t>The operating surplus/deficit (after Total Expenditure) is positive over the MTREF</w:t>
      </w:r>
    </w:p>
    <w:p w:rsidR="004A1642" w:rsidRPr="003979D6" w:rsidRDefault="004A1642" w:rsidP="004A1642">
      <w:pPr>
        <w:pStyle w:val="ListParagraph"/>
        <w:numPr>
          <w:ilvl w:val="1"/>
          <w:numId w:val="6"/>
        </w:numPr>
        <w:spacing w:after="0"/>
        <w:contextualSpacing/>
        <w:jc w:val="both"/>
        <w:rPr>
          <w:rFonts w:ascii="Arial" w:hAnsi="Arial" w:cs="Arial"/>
        </w:rPr>
      </w:pPr>
      <w:r w:rsidRPr="003979D6">
        <w:rPr>
          <w:rFonts w:ascii="Arial" w:hAnsi="Arial" w:cs="Arial"/>
        </w:rPr>
        <w:t>Capital expenditure is balanced by capital funding sources, of which</w:t>
      </w:r>
    </w:p>
    <w:p w:rsidR="004A1642" w:rsidRPr="003979D6" w:rsidRDefault="004A1642" w:rsidP="004A1642">
      <w:pPr>
        <w:pStyle w:val="ListParagraph"/>
        <w:numPr>
          <w:ilvl w:val="2"/>
          <w:numId w:val="6"/>
        </w:numPr>
        <w:spacing w:after="0"/>
        <w:ind w:hanging="666"/>
        <w:contextualSpacing/>
        <w:jc w:val="both"/>
        <w:rPr>
          <w:rFonts w:ascii="Arial" w:hAnsi="Arial" w:cs="Arial"/>
        </w:rPr>
      </w:pPr>
      <w:r w:rsidRPr="003979D6">
        <w:rPr>
          <w:rFonts w:ascii="Arial" w:hAnsi="Arial" w:cs="Arial"/>
        </w:rPr>
        <w:t>Transfers recognised is reflected on the Financial Performance Budget;</w:t>
      </w:r>
    </w:p>
    <w:p w:rsidR="004A1642" w:rsidRPr="003979D6" w:rsidRDefault="004A1642" w:rsidP="004A1642">
      <w:pPr>
        <w:pStyle w:val="ListParagraph"/>
        <w:numPr>
          <w:ilvl w:val="2"/>
          <w:numId w:val="6"/>
        </w:numPr>
        <w:spacing w:after="0"/>
        <w:ind w:hanging="666"/>
        <w:contextualSpacing/>
        <w:jc w:val="both"/>
        <w:rPr>
          <w:rFonts w:ascii="Arial" w:hAnsi="Arial" w:cs="Arial"/>
        </w:rPr>
      </w:pPr>
      <w:r w:rsidRPr="003979D6">
        <w:rPr>
          <w:rFonts w:ascii="Arial" w:hAnsi="Arial" w:cs="Arial"/>
        </w:rPr>
        <w:t>Borrowing is incorporated in the net cash from financing on the Cash Flow Budget</w:t>
      </w:r>
    </w:p>
    <w:p w:rsidR="00EC55A1" w:rsidRDefault="00EC55A1" w:rsidP="003979D6">
      <w:pPr>
        <w:pStyle w:val="ListParagraph"/>
        <w:numPr>
          <w:ilvl w:val="2"/>
          <w:numId w:val="6"/>
        </w:numPr>
        <w:spacing w:after="0"/>
        <w:ind w:left="1418" w:hanging="284"/>
        <w:contextualSpacing/>
        <w:jc w:val="both"/>
        <w:rPr>
          <w:rFonts w:ascii="Arial" w:hAnsi="Arial" w:cs="Arial"/>
        </w:rPr>
      </w:pPr>
      <w:r>
        <w:rPr>
          <w:rFonts w:ascii="Arial" w:hAnsi="Arial" w:cs="Arial"/>
        </w:rPr>
        <w:t xml:space="preserve">      Internally generated funds are</w:t>
      </w:r>
      <w:r w:rsidR="004A1642" w:rsidRPr="003979D6">
        <w:rPr>
          <w:rFonts w:ascii="Arial" w:hAnsi="Arial" w:cs="Arial"/>
        </w:rPr>
        <w:t xml:space="preserve"> financed from a combination of the current</w:t>
      </w:r>
      <w:r>
        <w:rPr>
          <w:rFonts w:ascii="Arial" w:hAnsi="Arial" w:cs="Arial"/>
        </w:rPr>
        <w:br/>
      </w:r>
      <w:r w:rsidR="004A1642" w:rsidRPr="003979D6">
        <w:rPr>
          <w:rFonts w:ascii="Arial" w:hAnsi="Arial" w:cs="Arial"/>
        </w:rPr>
        <w:t xml:space="preserve">operating surplus and accumulated cash-backed surpluses from previous years. </w:t>
      </w:r>
    </w:p>
    <w:p w:rsidR="00EC55A1" w:rsidRDefault="00EC55A1" w:rsidP="00EC55A1">
      <w:pPr>
        <w:ind w:left="1134"/>
        <w:contextualSpacing/>
        <w:jc w:val="both"/>
        <w:rPr>
          <w:rFonts w:cs="Arial"/>
          <w:sz w:val="22"/>
          <w:szCs w:val="22"/>
        </w:rPr>
      </w:pPr>
      <w:r>
        <w:rPr>
          <w:rFonts w:cs="Arial"/>
          <w:sz w:val="22"/>
          <w:szCs w:val="22"/>
        </w:rPr>
        <w:t xml:space="preserve">The </w:t>
      </w:r>
      <w:r w:rsidR="004A1642" w:rsidRPr="00EC55A1">
        <w:rPr>
          <w:rFonts w:cs="Arial"/>
          <w:sz w:val="22"/>
          <w:szCs w:val="22"/>
        </w:rPr>
        <w:t xml:space="preserve">amount is incorporated in the Net cash from investing on the Cash Flow </w:t>
      </w:r>
    </w:p>
    <w:p w:rsidR="00EC55A1" w:rsidRDefault="004A1642" w:rsidP="00EC55A1">
      <w:pPr>
        <w:ind w:left="1134"/>
        <w:contextualSpacing/>
        <w:jc w:val="both"/>
        <w:rPr>
          <w:rFonts w:cs="Arial"/>
          <w:sz w:val="22"/>
          <w:szCs w:val="22"/>
        </w:rPr>
      </w:pPr>
      <w:r w:rsidRPr="00EC55A1">
        <w:rPr>
          <w:rFonts w:cs="Arial"/>
          <w:sz w:val="22"/>
          <w:szCs w:val="22"/>
        </w:rPr>
        <w:t xml:space="preserve">Budget. The fact that the municipality’s cash flow remains positive, and is </w:t>
      </w:r>
    </w:p>
    <w:p w:rsidR="00EC55A1" w:rsidRDefault="004A1642" w:rsidP="00EC55A1">
      <w:pPr>
        <w:ind w:left="1134"/>
        <w:contextualSpacing/>
        <w:jc w:val="both"/>
        <w:rPr>
          <w:rFonts w:cs="Arial"/>
          <w:sz w:val="22"/>
          <w:szCs w:val="22"/>
        </w:rPr>
      </w:pPr>
      <w:r w:rsidRPr="00EC55A1">
        <w:rPr>
          <w:rFonts w:cs="Arial"/>
          <w:sz w:val="22"/>
          <w:szCs w:val="22"/>
        </w:rPr>
        <w:t>improvi</w:t>
      </w:r>
      <w:r w:rsidR="00EC55A1">
        <w:rPr>
          <w:rFonts w:cs="Arial"/>
          <w:sz w:val="22"/>
          <w:szCs w:val="22"/>
        </w:rPr>
        <w:t xml:space="preserve">ng indicates that the necessary </w:t>
      </w:r>
      <w:r w:rsidRPr="00EC55A1">
        <w:rPr>
          <w:rFonts w:cs="Arial"/>
          <w:sz w:val="22"/>
          <w:szCs w:val="22"/>
        </w:rPr>
        <w:t xml:space="preserve">cash resources are available to fund the </w:t>
      </w:r>
    </w:p>
    <w:p w:rsidR="004A1642" w:rsidRPr="00EC55A1" w:rsidRDefault="004A1642" w:rsidP="00EC55A1">
      <w:pPr>
        <w:ind w:left="1134"/>
        <w:contextualSpacing/>
        <w:jc w:val="both"/>
        <w:rPr>
          <w:rFonts w:cs="Arial"/>
          <w:sz w:val="22"/>
          <w:szCs w:val="22"/>
        </w:rPr>
      </w:pPr>
      <w:r w:rsidRPr="00EC55A1">
        <w:rPr>
          <w:rFonts w:cs="Arial"/>
          <w:sz w:val="22"/>
          <w:szCs w:val="22"/>
        </w:rPr>
        <w:t>Capital Budget.</w:t>
      </w:r>
    </w:p>
    <w:p w:rsidR="004A1642" w:rsidRPr="003979D6" w:rsidRDefault="004A1642" w:rsidP="003979D6">
      <w:pPr>
        <w:pStyle w:val="ListParagraph"/>
        <w:numPr>
          <w:ilvl w:val="0"/>
          <w:numId w:val="6"/>
        </w:numPr>
        <w:spacing w:after="0"/>
        <w:contextualSpacing/>
        <w:jc w:val="both"/>
        <w:rPr>
          <w:rFonts w:ascii="Arial" w:hAnsi="Arial" w:cs="Arial"/>
        </w:rPr>
      </w:pPr>
      <w:r w:rsidRPr="003979D6">
        <w:rPr>
          <w:rFonts w:ascii="Arial" w:hAnsi="Arial" w:cs="Arial"/>
        </w:rPr>
        <w:t>The Cash backing/surplus reconciliation shows that in previous financial years the municipality successfully managed to restore its financial viability and consequently its obligations are cash-backed.</w:t>
      </w:r>
    </w:p>
    <w:p w:rsidR="004A1642" w:rsidRPr="009F2998" w:rsidRDefault="004A1642" w:rsidP="004A1642">
      <w:pPr>
        <w:pStyle w:val="ListParagraph"/>
        <w:spacing w:after="0"/>
        <w:ind w:left="360"/>
        <w:contextualSpacing/>
        <w:jc w:val="both"/>
        <w:rPr>
          <w:color w:val="0000CC"/>
          <w:sz w:val="20"/>
          <w:szCs w:val="20"/>
        </w:rPr>
      </w:pPr>
      <w:r>
        <w:rPr>
          <w:rFonts w:ascii="Arial" w:hAnsi="Arial" w:cs="Arial"/>
          <w:sz w:val="20"/>
          <w:szCs w:val="20"/>
        </w:rPr>
        <w:br w:type="page"/>
      </w:r>
      <w:bookmarkStart w:id="71" w:name="_Toc287342458"/>
    </w:p>
    <w:p w:rsidR="00941965" w:rsidRPr="00EC55A1" w:rsidRDefault="00941965" w:rsidP="00941965">
      <w:pPr>
        <w:rPr>
          <w:b/>
          <w:color w:val="984806"/>
          <w:sz w:val="22"/>
          <w:szCs w:val="22"/>
        </w:rPr>
      </w:pPr>
      <w:bookmarkStart w:id="72" w:name="_Toc356917095"/>
      <w:bookmarkEnd w:id="71"/>
      <w:r w:rsidRPr="00DE2254">
        <w:rPr>
          <w:b/>
          <w:color w:val="984806"/>
          <w:sz w:val="22"/>
          <w:szCs w:val="22"/>
        </w:rPr>
        <w:lastRenderedPageBreak/>
        <w:t>Table 9</w:t>
      </w:r>
      <w:r w:rsidRPr="00DE2254">
        <w:rPr>
          <w:b/>
          <w:color w:val="984806"/>
          <w:sz w:val="22"/>
          <w:szCs w:val="22"/>
        </w:rPr>
        <w:tab/>
        <w:t>MBRR NT A2 - Budgeted Financial Performance (revenue and expenditure by standard classification)</w:t>
      </w:r>
    </w:p>
    <w:p w:rsidR="00342144" w:rsidRDefault="00342144">
      <w:pPr>
        <w:rPr>
          <w:rFonts w:cs="Arial"/>
          <w:sz w:val="20"/>
          <w:szCs w:val="20"/>
        </w:rPr>
      </w:pPr>
    </w:p>
    <w:p w:rsidR="00792D58" w:rsidRDefault="00611BA9">
      <w:pPr>
        <w:rPr>
          <w:rFonts w:eastAsia="Calibri" w:cs="Arial"/>
          <w:b/>
          <w:bCs/>
          <w:sz w:val="20"/>
          <w:szCs w:val="20"/>
          <w:lang w:val="en-ZA"/>
        </w:rPr>
      </w:pPr>
      <w:r w:rsidRPr="00611BA9">
        <w:rPr>
          <w:rFonts w:eastAsia="Calibri"/>
          <w:szCs w:val="20"/>
        </w:rPr>
        <w:drawing>
          <wp:inline distT="0" distB="0" distL="0" distR="0">
            <wp:extent cx="6591300" cy="8317230"/>
            <wp:effectExtent l="1905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6593352" cy="8319820"/>
                    </a:xfrm>
                    <a:prstGeom prst="rect">
                      <a:avLst/>
                    </a:prstGeom>
                    <a:noFill/>
                    <a:ln w="9525">
                      <a:noFill/>
                      <a:miter lim="800000"/>
                      <a:headEnd/>
                      <a:tailEnd/>
                    </a:ln>
                  </pic:spPr>
                </pic:pic>
              </a:graphicData>
            </a:graphic>
          </wp:inline>
        </w:drawing>
      </w:r>
    </w:p>
    <w:p w:rsidR="00941965" w:rsidRDefault="00941965">
      <w:pPr>
        <w:rPr>
          <w:rFonts w:eastAsia="Calibri" w:cs="Arial"/>
          <w:b/>
          <w:bCs/>
          <w:sz w:val="20"/>
          <w:szCs w:val="20"/>
          <w:lang w:val="en-ZA"/>
        </w:rPr>
      </w:pPr>
    </w:p>
    <w:p w:rsidR="00AB22CE" w:rsidRPr="00EC55A1" w:rsidRDefault="00AB22CE" w:rsidP="00776039">
      <w:pPr>
        <w:pStyle w:val="Caption"/>
        <w:keepNext/>
        <w:tabs>
          <w:tab w:val="left" w:pos="851"/>
        </w:tabs>
        <w:spacing w:line="276" w:lineRule="auto"/>
        <w:rPr>
          <w:rFonts w:cs="Arial"/>
          <w:szCs w:val="22"/>
        </w:rPr>
      </w:pPr>
      <w:bookmarkStart w:id="73" w:name="_Toc509209327"/>
      <w:r w:rsidRPr="00EC55A1">
        <w:rPr>
          <w:rFonts w:cs="Arial"/>
          <w:szCs w:val="22"/>
        </w:rPr>
        <w:lastRenderedPageBreak/>
        <w:t>Explanatory notes to MBRR Table A2 - Budgeted Financial Performance (revenue and expenditure by standard classification)</w:t>
      </w:r>
      <w:bookmarkEnd w:id="72"/>
      <w:bookmarkEnd w:id="73"/>
    </w:p>
    <w:p w:rsidR="00AB22CE" w:rsidRPr="00EC55A1" w:rsidRDefault="00AB22CE" w:rsidP="00AB22CE">
      <w:pPr>
        <w:pStyle w:val="ListParagraph"/>
        <w:numPr>
          <w:ilvl w:val="0"/>
          <w:numId w:val="7"/>
        </w:numPr>
        <w:spacing w:after="0"/>
        <w:ind w:left="360"/>
        <w:contextualSpacing/>
        <w:jc w:val="both"/>
        <w:rPr>
          <w:rFonts w:ascii="Arial" w:hAnsi="Arial" w:cs="Arial"/>
        </w:rPr>
      </w:pPr>
      <w:r w:rsidRPr="00EC55A1">
        <w:rPr>
          <w:rFonts w:ascii="Arial" w:hAnsi="Arial" w:cs="Arial"/>
        </w:rPr>
        <w:t>Table A2 is a view of the budgeted financial performance in relation to revenue and expenditure per standard classification. The modified GFS standard classification divides the municipal services into 15 functional areas. Municipal revenue, operating expenditure and capital expenditure are then classified in terms if each of these functional areas which enables the National Treasury to compile ‘whole of government’ reports.</w:t>
      </w:r>
    </w:p>
    <w:p w:rsidR="00AB22CE" w:rsidRPr="00EC55A1" w:rsidRDefault="00AB22CE" w:rsidP="00AB22CE">
      <w:pPr>
        <w:pStyle w:val="ListParagraph"/>
        <w:numPr>
          <w:ilvl w:val="0"/>
          <w:numId w:val="7"/>
        </w:numPr>
        <w:spacing w:after="0"/>
        <w:ind w:left="360"/>
        <w:contextualSpacing/>
        <w:jc w:val="both"/>
        <w:rPr>
          <w:rFonts w:ascii="Arial" w:hAnsi="Arial" w:cs="Arial"/>
        </w:rPr>
      </w:pPr>
      <w:r w:rsidRPr="00EC55A1">
        <w:rPr>
          <w:rFonts w:ascii="Arial" w:hAnsi="Arial" w:cs="Arial"/>
        </w:rPr>
        <w:t>Note the Total Revenue on this table includes capital revenues (Transfers recognised – capital) and so does not balance to the operating revenue shown on Table A4.</w:t>
      </w:r>
    </w:p>
    <w:p w:rsidR="00AB22CE" w:rsidRPr="00EC55A1" w:rsidRDefault="00AB22CE" w:rsidP="00AB22CE">
      <w:pPr>
        <w:pStyle w:val="ListParagraph"/>
        <w:numPr>
          <w:ilvl w:val="0"/>
          <w:numId w:val="7"/>
        </w:numPr>
        <w:spacing w:after="0"/>
        <w:ind w:left="360"/>
        <w:contextualSpacing/>
        <w:jc w:val="both"/>
        <w:rPr>
          <w:rFonts w:ascii="Arial" w:hAnsi="Arial" w:cs="Arial"/>
        </w:rPr>
      </w:pPr>
      <w:r w:rsidRPr="00EC55A1">
        <w:rPr>
          <w:rFonts w:ascii="Arial" w:hAnsi="Arial" w:cs="Arial"/>
        </w:rPr>
        <w:t xml:space="preserve">Note that as a general principle the revenues for the Trading Services should exceed their expenditures. </w:t>
      </w:r>
    </w:p>
    <w:p w:rsidR="00AB22CE" w:rsidRPr="00EC55A1" w:rsidRDefault="00AB22CE" w:rsidP="00AB22CE">
      <w:pPr>
        <w:pStyle w:val="ListParagraph"/>
        <w:numPr>
          <w:ilvl w:val="0"/>
          <w:numId w:val="7"/>
        </w:numPr>
        <w:spacing w:after="0"/>
        <w:ind w:left="360"/>
        <w:contextualSpacing/>
        <w:jc w:val="both"/>
        <w:rPr>
          <w:rFonts w:ascii="Arial" w:hAnsi="Arial" w:cs="Arial"/>
        </w:rPr>
      </w:pPr>
      <w:r w:rsidRPr="00EC55A1">
        <w:rPr>
          <w:rFonts w:ascii="Arial" w:hAnsi="Arial" w:cs="Arial"/>
        </w:rPr>
        <w:t>Other functions that show a deficit between revenue and expenditure are being financed from rates revenues and other revenue sources reflected under Finance and Asset Management.</w:t>
      </w:r>
    </w:p>
    <w:p w:rsidR="00AB22CE" w:rsidRDefault="00AB22CE">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EC55A1" w:rsidRDefault="00EC55A1">
      <w:pPr>
        <w:rPr>
          <w:rFonts w:ascii="Calibri" w:eastAsia="Calibri" w:hAnsi="Calibri"/>
          <w:sz w:val="22"/>
          <w:szCs w:val="22"/>
        </w:rPr>
      </w:pPr>
    </w:p>
    <w:p w:rsidR="004376C5" w:rsidRDefault="004376C5">
      <w:pPr>
        <w:rPr>
          <w:b/>
          <w:color w:val="984806"/>
          <w:sz w:val="20"/>
          <w:szCs w:val="20"/>
        </w:rPr>
      </w:pPr>
      <w:bookmarkStart w:id="74" w:name="_Toc287342459"/>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EC55A1" w:rsidRDefault="00EC55A1">
      <w:pPr>
        <w:rPr>
          <w:b/>
          <w:color w:val="984806"/>
          <w:sz w:val="20"/>
          <w:szCs w:val="20"/>
        </w:rPr>
      </w:pPr>
    </w:p>
    <w:p w:rsidR="00941965" w:rsidRDefault="00941965" w:rsidP="00941965">
      <w:pPr>
        <w:pStyle w:val="Caption"/>
        <w:tabs>
          <w:tab w:val="left" w:pos="851"/>
        </w:tabs>
        <w:spacing w:line="276" w:lineRule="auto"/>
        <w:rPr>
          <w:color w:val="984806"/>
          <w:szCs w:val="22"/>
        </w:rPr>
      </w:pPr>
      <w:bookmarkStart w:id="75" w:name="_Toc287342460"/>
      <w:bookmarkStart w:id="76" w:name="_Toc356917096"/>
      <w:bookmarkStart w:id="77" w:name="_Toc509209328"/>
      <w:bookmarkEnd w:id="74"/>
      <w:r w:rsidRPr="00DE2254">
        <w:rPr>
          <w:color w:val="984806"/>
          <w:szCs w:val="22"/>
        </w:rPr>
        <w:lastRenderedPageBreak/>
        <w:t>Table 10</w:t>
      </w:r>
      <w:r w:rsidRPr="00DE2254">
        <w:rPr>
          <w:color w:val="984806"/>
          <w:szCs w:val="22"/>
        </w:rPr>
        <w:tab/>
        <w:t>MBRR NT A3 - Budgeted Financial Performance (revenue and expenditure by municipal vote)</w:t>
      </w:r>
      <w:bookmarkEnd w:id="75"/>
      <w:bookmarkEnd w:id="76"/>
      <w:bookmarkEnd w:id="77"/>
    </w:p>
    <w:p w:rsidR="005063D8" w:rsidRPr="005063D8" w:rsidRDefault="00611BA9" w:rsidP="005063D8">
      <w:pPr>
        <w:rPr>
          <w:lang w:val="en-ZA"/>
        </w:rPr>
      </w:pPr>
      <w:r w:rsidRPr="00611BA9">
        <w:drawing>
          <wp:inline distT="0" distB="0" distL="0" distR="0">
            <wp:extent cx="6499860" cy="8382000"/>
            <wp:effectExtent l="1905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6501884" cy="8384610"/>
                    </a:xfrm>
                    <a:prstGeom prst="rect">
                      <a:avLst/>
                    </a:prstGeom>
                    <a:noFill/>
                    <a:ln w="9525">
                      <a:noFill/>
                      <a:miter lim="800000"/>
                      <a:headEnd/>
                      <a:tailEnd/>
                    </a:ln>
                  </pic:spPr>
                </pic:pic>
              </a:graphicData>
            </a:graphic>
          </wp:inline>
        </w:drawing>
      </w:r>
    </w:p>
    <w:p w:rsidR="00941965" w:rsidRDefault="00941965" w:rsidP="009A09A2">
      <w:pPr>
        <w:spacing w:line="276" w:lineRule="auto"/>
        <w:jc w:val="both"/>
        <w:rPr>
          <w:rFonts w:cs="Arial"/>
          <w:b/>
          <w:sz w:val="20"/>
          <w:szCs w:val="20"/>
        </w:rPr>
      </w:pPr>
    </w:p>
    <w:p w:rsidR="00941965" w:rsidRDefault="00941965" w:rsidP="009A09A2">
      <w:pPr>
        <w:spacing w:line="276" w:lineRule="auto"/>
        <w:jc w:val="both"/>
        <w:rPr>
          <w:rFonts w:cs="Arial"/>
          <w:b/>
          <w:sz w:val="20"/>
          <w:szCs w:val="20"/>
        </w:rPr>
      </w:pPr>
    </w:p>
    <w:p w:rsidR="009A09A2" w:rsidRPr="00EC55A1" w:rsidRDefault="009A09A2" w:rsidP="009A09A2">
      <w:pPr>
        <w:spacing w:line="276" w:lineRule="auto"/>
        <w:jc w:val="both"/>
        <w:rPr>
          <w:rFonts w:cs="Arial"/>
          <w:b/>
          <w:sz w:val="22"/>
          <w:szCs w:val="22"/>
        </w:rPr>
      </w:pPr>
      <w:r w:rsidRPr="00EC55A1">
        <w:rPr>
          <w:rFonts w:cs="Arial"/>
          <w:b/>
          <w:sz w:val="22"/>
          <w:szCs w:val="22"/>
        </w:rPr>
        <w:t>Explanatory notes to MBRR Table A3 - Budgeted Financial Performance (revenue and expenditure by municipal vote)</w:t>
      </w:r>
    </w:p>
    <w:p w:rsidR="009A09A2" w:rsidRPr="00EC55A1" w:rsidRDefault="009A09A2" w:rsidP="009A09A2">
      <w:pPr>
        <w:pStyle w:val="Caption"/>
        <w:spacing w:after="0" w:line="276" w:lineRule="auto"/>
        <w:jc w:val="both"/>
        <w:rPr>
          <w:rFonts w:cs="Arial"/>
          <w:b w:val="0"/>
          <w:bCs w:val="0"/>
          <w:szCs w:val="22"/>
        </w:rPr>
      </w:pPr>
    </w:p>
    <w:p w:rsidR="009A09A2" w:rsidRDefault="009A09A2" w:rsidP="009A09A2">
      <w:pPr>
        <w:pStyle w:val="ListParagraph"/>
        <w:numPr>
          <w:ilvl w:val="0"/>
          <w:numId w:val="12"/>
        </w:numPr>
        <w:spacing w:after="0"/>
        <w:contextualSpacing/>
        <w:jc w:val="both"/>
        <w:rPr>
          <w:rFonts w:ascii="Arial" w:hAnsi="Arial" w:cs="Arial"/>
        </w:rPr>
      </w:pPr>
      <w:r w:rsidRPr="00EC55A1">
        <w:rPr>
          <w:rFonts w:ascii="Arial" w:hAnsi="Arial" w:cs="Arial"/>
        </w:rPr>
        <w:t xml:space="preserve">Table A3 is a view of the budgeted financial performance in relation to the revenue and expenditure per municipal vote. This table facilitates the view of the budgeted operating performance in relation to the </w:t>
      </w:r>
      <w:r w:rsidR="005421E7" w:rsidRPr="00EC55A1">
        <w:rPr>
          <w:rFonts w:ascii="Arial" w:hAnsi="Arial" w:cs="Arial"/>
        </w:rPr>
        <w:t xml:space="preserve">updated </w:t>
      </w:r>
      <w:r w:rsidRPr="00EC55A1">
        <w:rPr>
          <w:rFonts w:ascii="Arial" w:hAnsi="Arial" w:cs="Arial"/>
        </w:rPr>
        <w:t>organisational structure of the Municipality. This means it is possible to present the operating surplus or deficit of a vote.</w:t>
      </w:r>
    </w:p>
    <w:p w:rsidR="008150E2" w:rsidRPr="00EC55A1" w:rsidRDefault="008150E2" w:rsidP="008150E2">
      <w:pPr>
        <w:pStyle w:val="ListParagraph"/>
        <w:spacing w:after="0"/>
        <w:contextualSpacing/>
        <w:jc w:val="both"/>
        <w:rPr>
          <w:rFonts w:ascii="Arial" w:hAnsi="Arial" w:cs="Arial"/>
        </w:rPr>
      </w:pPr>
    </w:p>
    <w:p w:rsidR="008150E2" w:rsidRDefault="008150E2" w:rsidP="00AD05F0">
      <w:pPr>
        <w:pStyle w:val="Caption"/>
        <w:tabs>
          <w:tab w:val="left" w:pos="851"/>
        </w:tabs>
        <w:rPr>
          <w:color w:val="984806"/>
          <w:szCs w:val="22"/>
        </w:rPr>
      </w:pPr>
      <w:bookmarkStart w:id="78" w:name="_Toc287342462"/>
      <w:bookmarkStart w:id="79" w:name="_Toc356917097"/>
      <w:bookmarkStart w:id="80" w:name="_Toc509209329"/>
    </w:p>
    <w:p w:rsidR="008150E2" w:rsidRDefault="008150E2" w:rsidP="00AD05F0">
      <w:pPr>
        <w:pStyle w:val="Caption"/>
        <w:tabs>
          <w:tab w:val="left" w:pos="851"/>
        </w:tabs>
        <w:rPr>
          <w:color w:val="984806"/>
          <w:szCs w:val="22"/>
        </w:rPr>
      </w:pPr>
    </w:p>
    <w:p w:rsidR="008150E2" w:rsidRDefault="008150E2" w:rsidP="00AD05F0">
      <w:pPr>
        <w:pStyle w:val="Caption"/>
        <w:tabs>
          <w:tab w:val="left" w:pos="851"/>
        </w:tabs>
        <w:rPr>
          <w:color w:val="984806"/>
          <w:szCs w:val="22"/>
        </w:rPr>
      </w:pPr>
    </w:p>
    <w:p w:rsidR="008150E2" w:rsidRDefault="008150E2" w:rsidP="00AD05F0">
      <w:pPr>
        <w:pStyle w:val="Caption"/>
        <w:tabs>
          <w:tab w:val="left" w:pos="851"/>
        </w:tabs>
        <w:rPr>
          <w:color w:val="984806"/>
          <w:szCs w:val="22"/>
        </w:rPr>
      </w:pPr>
    </w:p>
    <w:p w:rsidR="008150E2" w:rsidRDefault="008150E2" w:rsidP="00AD05F0">
      <w:pPr>
        <w:pStyle w:val="Caption"/>
        <w:tabs>
          <w:tab w:val="left" w:pos="851"/>
        </w:tabs>
        <w:rPr>
          <w:color w:val="984806"/>
          <w:szCs w:val="22"/>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604F89" w:rsidRDefault="00604F89" w:rsidP="00604F89">
      <w:pPr>
        <w:rPr>
          <w:lang w:val="en-ZA"/>
        </w:rPr>
      </w:pPr>
    </w:p>
    <w:p w:rsidR="005063D8" w:rsidRDefault="005063D8" w:rsidP="00604F89">
      <w:pPr>
        <w:rPr>
          <w:lang w:val="en-ZA"/>
        </w:rPr>
      </w:pPr>
    </w:p>
    <w:p w:rsidR="004519F3" w:rsidRPr="00EC55A1" w:rsidRDefault="008044CB" w:rsidP="00AD05F0">
      <w:pPr>
        <w:pStyle w:val="Caption"/>
        <w:tabs>
          <w:tab w:val="left" w:pos="851"/>
        </w:tabs>
        <w:rPr>
          <w:color w:val="984806"/>
          <w:szCs w:val="22"/>
        </w:rPr>
      </w:pPr>
      <w:r w:rsidRPr="00DE2254">
        <w:rPr>
          <w:color w:val="984806"/>
          <w:szCs w:val="22"/>
        </w:rPr>
        <w:t xml:space="preserve">Table </w:t>
      </w:r>
      <w:r w:rsidR="00A24B6C" w:rsidRPr="00DE2254">
        <w:rPr>
          <w:color w:val="984806"/>
          <w:szCs w:val="22"/>
        </w:rPr>
        <w:t>1</w:t>
      </w:r>
      <w:r w:rsidR="00776039" w:rsidRPr="00DE2254">
        <w:rPr>
          <w:color w:val="984806"/>
          <w:szCs w:val="22"/>
        </w:rPr>
        <w:t>1</w:t>
      </w:r>
      <w:r w:rsidR="00A24B6C" w:rsidRPr="00DE2254">
        <w:rPr>
          <w:color w:val="984806"/>
          <w:szCs w:val="22"/>
        </w:rPr>
        <w:tab/>
      </w:r>
      <w:r w:rsidRPr="00DE2254">
        <w:rPr>
          <w:color w:val="984806"/>
          <w:szCs w:val="22"/>
        </w:rPr>
        <w:t xml:space="preserve">MBRR </w:t>
      </w:r>
      <w:r w:rsidR="006B7611" w:rsidRPr="00DE2254">
        <w:rPr>
          <w:color w:val="984806"/>
          <w:szCs w:val="22"/>
        </w:rPr>
        <w:t>NT</w:t>
      </w:r>
      <w:r w:rsidRPr="00DE2254">
        <w:rPr>
          <w:color w:val="984806"/>
          <w:szCs w:val="22"/>
        </w:rPr>
        <w:t xml:space="preserve"> A4 - Budgeted Financial Performance (revenue and expenditure)</w:t>
      </w:r>
      <w:bookmarkEnd w:id="78"/>
      <w:bookmarkEnd w:id="79"/>
      <w:bookmarkEnd w:id="80"/>
    </w:p>
    <w:p w:rsidR="00AC428B" w:rsidRDefault="00611BA9" w:rsidP="00AC428B">
      <w:pPr>
        <w:rPr>
          <w:lang w:val="en-ZA"/>
        </w:rPr>
      </w:pPr>
      <w:r w:rsidRPr="00611BA9">
        <w:drawing>
          <wp:inline distT="0" distB="0" distL="0" distR="0">
            <wp:extent cx="6499860" cy="8507730"/>
            <wp:effectExtent l="1905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6501884" cy="8510379"/>
                    </a:xfrm>
                    <a:prstGeom prst="rect">
                      <a:avLst/>
                    </a:prstGeom>
                    <a:noFill/>
                    <a:ln w="9525">
                      <a:noFill/>
                      <a:miter lim="800000"/>
                      <a:headEnd/>
                      <a:tailEnd/>
                    </a:ln>
                  </pic:spPr>
                </pic:pic>
              </a:graphicData>
            </a:graphic>
          </wp:inline>
        </w:drawing>
      </w:r>
    </w:p>
    <w:p w:rsidR="00A54D64" w:rsidRPr="00AC428B" w:rsidRDefault="00A54D64" w:rsidP="00AC428B">
      <w:pPr>
        <w:rPr>
          <w:lang w:val="en-ZA"/>
        </w:rPr>
      </w:pPr>
    </w:p>
    <w:p w:rsidR="00941965" w:rsidRPr="00EC55A1" w:rsidRDefault="00941965" w:rsidP="00941965">
      <w:pPr>
        <w:rPr>
          <w:rFonts w:cs="Arial"/>
          <w:b/>
          <w:sz w:val="22"/>
          <w:szCs w:val="22"/>
        </w:rPr>
      </w:pPr>
      <w:r w:rsidRPr="00EC55A1">
        <w:rPr>
          <w:rFonts w:cs="Arial"/>
          <w:b/>
          <w:sz w:val="22"/>
          <w:szCs w:val="22"/>
        </w:rPr>
        <w:t>Explanatory notes to Table A4 - Budgeted Financial Performance (revenue and expenditure)</w:t>
      </w:r>
    </w:p>
    <w:p w:rsidR="00941965" w:rsidRPr="00EC55A1" w:rsidRDefault="00941965" w:rsidP="00941965">
      <w:pPr>
        <w:spacing w:line="276" w:lineRule="auto"/>
        <w:jc w:val="both"/>
        <w:rPr>
          <w:rFonts w:cs="Arial"/>
          <w:b/>
          <w:sz w:val="22"/>
          <w:szCs w:val="22"/>
        </w:rPr>
      </w:pPr>
    </w:p>
    <w:p w:rsidR="00941965" w:rsidRPr="00EC55A1" w:rsidRDefault="00EC55A1" w:rsidP="00941965">
      <w:pPr>
        <w:pStyle w:val="ListParagraph"/>
        <w:numPr>
          <w:ilvl w:val="0"/>
          <w:numId w:val="13"/>
        </w:numPr>
        <w:spacing w:after="0"/>
        <w:contextualSpacing/>
        <w:jc w:val="both"/>
        <w:rPr>
          <w:rFonts w:ascii="Arial" w:hAnsi="Arial" w:cs="Arial"/>
        </w:rPr>
      </w:pPr>
      <w:r>
        <w:rPr>
          <w:rFonts w:ascii="Arial" w:hAnsi="Arial" w:cs="Arial"/>
        </w:rPr>
        <w:t>Budgeted total revenue amou</w:t>
      </w:r>
      <w:r w:rsidR="00042F57">
        <w:rPr>
          <w:rFonts w:ascii="Arial" w:hAnsi="Arial" w:cs="Arial"/>
        </w:rPr>
        <w:t>nt t</w:t>
      </w:r>
      <w:r w:rsidR="00611BA9">
        <w:rPr>
          <w:rFonts w:ascii="Arial" w:hAnsi="Arial" w:cs="Arial"/>
        </w:rPr>
        <w:t>o R842</w:t>
      </w:r>
      <w:r w:rsidR="00042F57">
        <w:rPr>
          <w:rFonts w:ascii="Arial" w:hAnsi="Arial" w:cs="Arial"/>
        </w:rPr>
        <w:t xml:space="preserve"> million in 2020/21</w:t>
      </w:r>
      <w:r w:rsidR="00941965" w:rsidRPr="00EC55A1">
        <w:rPr>
          <w:rFonts w:ascii="Arial" w:hAnsi="Arial" w:cs="Arial"/>
        </w:rPr>
        <w:t>.</w:t>
      </w:r>
    </w:p>
    <w:p w:rsidR="00941965" w:rsidRPr="00EC55A1" w:rsidRDefault="00941965" w:rsidP="00941965">
      <w:pPr>
        <w:pStyle w:val="ListParagraph"/>
        <w:numPr>
          <w:ilvl w:val="0"/>
          <w:numId w:val="13"/>
        </w:numPr>
        <w:spacing w:after="0"/>
        <w:contextualSpacing/>
        <w:jc w:val="both"/>
        <w:rPr>
          <w:rFonts w:ascii="Arial" w:hAnsi="Arial" w:cs="Arial"/>
        </w:rPr>
      </w:pPr>
      <w:r w:rsidRPr="00EC55A1">
        <w:rPr>
          <w:rFonts w:ascii="Arial" w:hAnsi="Arial" w:cs="Arial"/>
        </w:rPr>
        <w:t>Transfers recognised – operating includes the local government equitable share and other operating grants from national and provincial government.</w:t>
      </w:r>
    </w:p>
    <w:p w:rsidR="00941965" w:rsidRPr="00EC55A1" w:rsidRDefault="00941965" w:rsidP="00941965">
      <w:pPr>
        <w:pStyle w:val="ListParagraph"/>
        <w:numPr>
          <w:ilvl w:val="0"/>
          <w:numId w:val="13"/>
        </w:numPr>
        <w:spacing w:after="0"/>
        <w:contextualSpacing/>
        <w:jc w:val="both"/>
        <w:rPr>
          <w:rFonts w:ascii="Arial" w:hAnsi="Arial" w:cs="Arial"/>
        </w:rPr>
      </w:pPr>
      <w:r w:rsidRPr="00EC55A1">
        <w:rPr>
          <w:rFonts w:ascii="Arial" w:hAnsi="Arial" w:cs="Arial"/>
        </w:rPr>
        <w:t>Employee related costs and other expenditure are the main cost drivers within the municipality and alternative operational gains and efficiencies will have to be identified to lessen the impact of wage and bulk tariff increases in future years.</w:t>
      </w:r>
    </w:p>
    <w:p w:rsidR="00EC55A1" w:rsidRDefault="00EC55A1" w:rsidP="00941965">
      <w:pPr>
        <w:pStyle w:val="Caption"/>
        <w:tabs>
          <w:tab w:val="left" w:pos="851"/>
        </w:tabs>
        <w:rPr>
          <w:color w:val="984806"/>
          <w:sz w:val="20"/>
          <w:szCs w:val="20"/>
        </w:rPr>
      </w:pPr>
      <w:bookmarkStart w:id="81" w:name="_Toc509209330"/>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Default="00EC55A1" w:rsidP="00EC55A1">
      <w:pPr>
        <w:rPr>
          <w:lang w:val="en-ZA"/>
        </w:rPr>
      </w:pPr>
    </w:p>
    <w:p w:rsidR="00EC55A1" w:rsidRPr="00EC55A1" w:rsidRDefault="00EC55A1" w:rsidP="00EC55A1">
      <w:pPr>
        <w:rPr>
          <w:lang w:val="en-ZA"/>
        </w:rPr>
      </w:pPr>
    </w:p>
    <w:p w:rsidR="00941965" w:rsidRDefault="00941965" w:rsidP="00EC55A1">
      <w:pPr>
        <w:pStyle w:val="Caption"/>
        <w:tabs>
          <w:tab w:val="left" w:pos="851"/>
        </w:tabs>
        <w:rPr>
          <w:rFonts w:cs="Arial"/>
          <w:b w:val="0"/>
          <w:sz w:val="20"/>
          <w:szCs w:val="20"/>
        </w:rPr>
      </w:pPr>
      <w:r w:rsidRPr="00DE2254">
        <w:rPr>
          <w:color w:val="984806"/>
          <w:szCs w:val="22"/>
        </w:rPr>
        <w:lastRenderedPageBreak/>
        <w:t>Table 12</w:t>
      </w:r>
      <w:r w:rsidRPr="00DE2254">
        <w:rPr>
          <w:color w:val="984806"/>
          <w:szCs w:val="22"/>
        </w:rPr>
        <w:tab/>
        <w:t>MBRR NT A5 - Budgeted Capital Expenditure by vote, standard classification and funding source</w:t>
      </w:r>
      <w:bookmarkEnd w:id="81"/>
      <w:r w:rsidR="00736C5B" w:rsidRPr="00EC55A1">
        <w:rPr>
          <w:color w:val="984806"/>
          <w:szCs w:val="22"/>
        </w:rPr>
        <w:br/>
      </w:r>
      <w:r w:rsidR="00611BA9" w:rsidRPr="00611BA9">
        <w:rPr>
          <w:szCs w:val="20"/>
        </w:rPr>
        <w:drawing>
          <wp:inline distT="0" distB="0" distL="0" distR="0">
            <wp:extent cx="6549390" cy="8290560"/>
            <wp:effectExtent l="19050" t="0" r="3810" b="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6549390" cy="8290560"/>
                    </a:xfrm>
                    <a:prstGeom prst="rect">
                      <a:avLst/>
                    </a:prstGeom>
                    <a:noFill/>
                    <a:ln w="9525">
                      <a:noFill/>
                      <a:miter lim="800000"/>
                      <a:headEnd/>
                      <a:tailEnd/>
                    </a:ln>
                  </pic:spPr>
                </pic:pic>
              </a:graphicData>
            </a:graphic>
          </wp:inline>
        </w:drawing>
      </w:r>
    </w:p>
    <w:p w:rsidR="00EC55A1" w:rsidRDefault="00EC55A1" w:rsidP="008805F3">
      <w:pPr>
        <w:rPr>
          <w:rFonts w:cs="Arial"/>
          <w:b/>
          <w:sz w:val="20"/>
          <w:szCs w:val="20"/>
        </w:rPr>
      </w:pPr>
    </w:p>
    <w:p w:rsidR="008805F3" w:rsidRPr="00C70AAA" w:rsidRDefault="008805F3" w:rsidP="008805F3">
      <w:pPr>
        <w:rPr>
          <w:rFonts w:cs="Arial"/>
          <w:b/>
          <w:sz w:val="22"/>
          <w:szCs w:val="22"/>
        </w:rPr>
      </w:pPr>
      <w:r w:rsidRPr="00C70AAA">
        <w:rPr>
          <w:rFonts w:cs="Arial"/>
          <w:b/>
          <w:sz w:val="22"/>
          <w:szCs w:val="22"/>
        </w:rPr>
        <w:lastRenderedPageBreak/>
        <w:t>Explanatory notes to Table A5 - Budgeted Capital Expenditure by vote, standard classification and funding source</w:t>
      </w:r>
    </w:p>
    <w:p w:rsidR="008805F3" w:rsidRPr="00C70AAA" w:rsidRDefault="008805F3" w:rsidP="008805F3">
      <w:pPr>
        <w:spacing w:line="276" w:lineRule="auto"/>
        <w:jc w:val="both"/>
        <w:rPr>
          <w:rFonts w:cs="Arial"/>
          <w:b/>
          <w:sz w:val="22"/>
          <w:szCs w:val="22"/>
        </w:rPr>
      </w:pPr>
    </w:p>
    <w:p w:rsidR="008805F3" w:rsidRPr="00C70AAA" w:rsidRDefault="008805F3" w:rsidP="008805F3">
      <w:pPr>
        <w:pStyle w:val="Default"/>
        <w:numPr>
          <w:ilvl w:val="0"/>
          <w:numId w:val="8"/>
        </w:numPr>
        <w:spacing w:line="276" w:lineRule="auto"/>
        <w:jc w:val="both"/>
        <w:rPr>
          <w:sz w:val="22"/>
          <w:szCs w:val="22"/>
        </w:rPr>
      </w:pPr>
      <w:r w:rsidRPr="00C70AAA">
        <w:rPr>
          <w:sz w:val="22"/>
          <w:szCs w:val="22"/>
        </w:rPr>
        <w:t>Table A5 is a breakdown of the capital programme in relation to capital expenditure by municipal vote (multi-year and single-year appropriations); capital expenditure by standard classification; and the funding sources necessary to fund the capital budget, including information on capital transfers from national and provincial departments.</w:t>
      </w:r>
    </w:p>
    <w:p w:rsidR="008805F3" w:rsidRPr="00C70AAA" w:rsidRDefault="008805F3" w:rsidP="008805F3">
      <w:pPr>
        <w:pStyle w:val="Default"/>
        <w:numPr>
          <w:ilvl w:val="0"/>
          <w:numId w:val="8"/>
        </w:numPr>
        <w:spacing w:line="276" w:lineRule="auto"/>
        <w:jc w:val="both"/>
        <w:rPr>
          <w:sz w:val="22"/>
          <w:szCs w:val="22"/>
        </w:rPr>
      </w:pPr>
      <w:r w:rsidRPr="00C70AAA">
        <w:rPr>
          <w:sz w:val="22"/>
          <w:szCs w:val="22"/>
        </w:rPr>
        <w:t xml:space="preserve">The MFMA provides that a municipality may approve </w:t>
      </w:r>
      <w:r w:rsidRPr="00C70AAA">
        <w:rPr>
          <w:bCs/>
          <w:sz w:val="22"/>
          <w:szCs w:val="22"/>
        </w:rPr>
        <w:t xml:space="preserve">multi-year or single-year </w:t>
      </w:r>
      <w:r w:rsidRPr="00C70AAA">
        <w:rPr>
          <w:sz w:val="22"/>
          <w:szCs w:val="22"/>
        </w:rPr>
        <w:t>capital budget appropriations.</w:t>
      </w:r>
    </w:p>
    <w:p w:rsidR="008805F3" w:rsidRPr="00C70AAA" w:rsidRDefault="008805F3" w:rsidP="008805F3">
      <w:pPr>
        <w:pStyle w:val="Default"/>
        <w:numPr>
          <w:ilvl w:val="0"/>
          <w:numId w:val="8"/>
        </w:numPr>
        <w:spacing w:line="276" w:lineRule="auto"/>
        <w:jc w:val="both"/>
        <w:rPr>
          <w:sz w:val="22"/>
          <w:szCs w:val="22"/>
        </w:rPr>
      </w:pPr>
      <w:r w:rsidRPr="00C70AAA">
        <w:rPr>
          <w:sz w:val="22"/>
          <w:szCs w:val="22"/>
        </w:rPr>
        <w:t>Single-year capital expenditure has been appropriated at R</w:t>
      </w:r>
      <w:r w:rsidR="00611BA9">
        <w:rPr>
          <w:sz w:val="22"/>
          <w:szCs w:val="22"/>
        </w:rPr>
        <w:t xml:space="preserve"> 73.7</w:t>
      </w:r>
      <w:r w:rsidR="00604F89">
        <w:rPr>
          <w:sz w:val="22"/>
          <w:szCs w:val="22"/>
        </w:rPr>
        <w:t xml:space="preserve"> </w:t>
      </w:r>
      <w:r w:rsidRPr="00C70AAA">
        <w:rPr>
          <w:sz w:val="22"/>
          <w:szCs w:val="22"/>
        </w:rPr>
        <w:t xml:space="preserve">million for the </w:t>
      </w:r>
      <w:r w:rsidR="00042F57">
        <w:rPr>
          <w:sz w:val="22"/>
          <w:szCs w:val="22"/>
        </w:rPr>
        <w:t>2020/21</w:t>
      </w:r>
      <w:r w:rsidR="00604F89">
        <w:rPr>
          <w:sz w:val="22"/>
          <w:szCs w:val="22"/>
        </w:rPr>
        <w:t xml:space="preserve"> </w:t>
      </w:r>
      <w:r w:rsidRPr="00C70AAA">
        <w:rPr>
          <w:sz w:val="22"/>
          <w:szCs w:val="22"/>
        </w:rPr>
        <w:t>financial year.</w:t>
      </w:r>
    </w:p>
    <w:p w:rsidR="006303A6" w:rsidRPr="00C70AAA" w:rsidRDefault="006303A6" w:rsidP="008805F3">
      <w:pPr>
        <w:pStyle w:val="Default"/>
        <w:numPr>
          <w:ilvl w:val="0"/>
          <w:numId w:val="8"/>
        </w:numPr>
        <w:spacing w:line="276" w:lineRule="auto"/>
        <w:jc w:val="both"/>
        <w:rPr>
          <w:sz w:val="22"/>
          <w:szCs w:val="22"/>
        </w:rPr>
      </w:pPr>
      <w:r w:rsidRPr="00C70AAA">
        <w:rPr>
          <w:sz w:val="22"/>
          <w:szCs w:val="22"/>
        </w:rPr>
        <w:t>Multi-year capital expenditure has been appropriat</w:t>
      </w:r>
      <w:r w:rsidR="003C0B1E" w:rsidRPr="00C70AAA">
        <w:rPr>
          <w:sz w:val="22"/>
          <w:szCs w:val="22"/>
        </w:rPr>
        <w:t xml:space="preserve">ed at </w:t>
      </w:r>
      <w:r w:rsidR="00E43CA3" w:rsidRPr="00C70AAA">
        <w:rPr>
          <w:sz w:val="22"/>
          <w:szCs w:val="22"/>
        </w:rPr>
        <w:t>R</w:t>
      </w:r>
      <w:r w:rsidR="00042F57">
        <w:rPr>
          <w:sz w:val="22"/>
          <w:szCs w:val="22"/>
        </w:rPr>
        <w:t xml:space="preserve"> 230</w:t>
      </w:r>
      <w:r w:rsidR="00604F89">
        <w:rPr>
          <w:sz w:val="22"/>
          <w:szCs w:val="22"/>
        </w:rPr>
        <w:t xml:space="preserve"> </w:t>
      </w:r>
      <w:r w:rsidR="003C0B1E" w:rsidRPr="00C70AAA">
        <w:rPr>
          <w:sz w:val="22"/>
          <w:szCs w:val="22"/>
        </w:rPr>
        <w:t xml:space="preserve">million </w:t>
      </w:r>
      <w:r w:rsidR="002C72F8" w:rsidRPr="00C70AAA">
        <w:rPr>
          <w:sz w:val="22"/>
          <w:szCs w:val="22"/>
        </w:rPr>
        <w:t>for</w:t>
      </w:r>
      <w:r w:rsidR="00042F57">
        <w:rPr>
          <w:sz w:val="22"/>
          <w:szCs w:val="22"/>
        </w:rPr>
        <w:t xml:space="preserve"> the 2020/21</w:t>
      </w:r>
      <w:r w:rsidRPr="00C70AAA">
        <w:rPr>
          <w:sz w:val="22"/>
          <w:szCs w:val="22"/>
        </w:rPr>
        <w:t xml:space="preserve"> financial year.</w:t>
      </w:r>
    </w:p>
    <w:p w:rsidR="008805F3" w:rsidRPr="00C70AAA" w:rsidRDefault="008805F3" w:rsidP="008805F3">
      <w:pPr>
        <w:pStyle w:val="Default"/>
        <w:numPr>
          <w:ilvl w:val="0"/>
          <w:numId w:val="8"/>
        </w:numPr>
        <w:spacing w:line="276" w:lineRule="auto"/>
        <w:jc w:val="both"/>
        <w:rPr>
          <w:sz w:val="22"/>
          <w:szCs w:val="22"/>
        </w:rPr>
      </w:pPr>
      <w:r w:rsidRPr="00C70AAA">
        <w:rPr>
          <w:sz w:val="22"/>
          <w:szCs w:val="22"/>
        </w:rPr>
        <w:t>Unlike multi-year capital appropriations, single-year appropriations relate to expenditure that will be incurred in the specific budget year.</w:t>
      </w:r>
    </w:p>
    <w:p w:rsidR="008805F3" w:rsidRPr="00C70AAA" w:rsidRDefault="008805F3" w:rsidP="008805F3">
      <w:pPr>
        <w:pStyle w:val="Default"/>
        <w:numPr>
          <w:ilvl w:val="0"/>
          <w:numId w:val="8"/>
        </w:numPr>
        <w:spacing w:line="276" w:lineRule="auto"/>
        <w:jc w:val="both"/>
        <w:rPr>
          <w:sz w:val="22"/>
          <w:szCs w:val="22"/>
        </w:rPr>
      </w:pPr>
      <w:r w:rsidRPr="00C70AAA">
        <w:rPr>
          <w:sz w:val="22"/>
          <w:szCs w:val="22"/>
        </w:rPr>
        <w:t>The capital programme</w:t>
      </w:r>
      <w:r w:rsidR="00C70AAA">
        <w:rPr>
          <w:sz w:val="22"/>
          <w:szCs w:val="22"/>
        </w:rPr>
        <w:t xml:space="preserve">s are funded from </w:t>
      </w:r>
      <w:r w:rsidR="00042F57">
        <w:rPr>
          <w:sz w:val="22"/>
          <w:szCs w:val="22"/>
        </w:rPr>
        <w:t xml:space="preserve">national </w:t>
      </w:r>
      <w:r w:rsidR="003C0B1E" w:rsidRPr="00C70AAA">
        <w:rPr>
          <w:sz w:val="22"/>
          <w:szCs w:val="22"/>
        </w:rPr>
        <w:t>gra</w:t>
      </w:r>
      <w:r w:rsidR="00604F89">
        <w:rPr>
          <w:sz w:val="22"/>
          <w:szCs w:val="22"/>
        </w:rPr>
        <w:t>nts</w:t>
      </w:r>
      <w:r w:rsidR="00042F57">
        <w:rPr>
          <w:sz w:val="22"/>
          <w:szCs w:val="22"/>
        </w:rPr>
        <w:t xml:space="preserve"> and external loans</w:t>
      </w:r>
      <w:r w:rsidR="00604F89">
        <w:rPr>
          <w:sz w:val="22"/>
          <w:szCs w:val="22"/>
        </w:rPr>
        <w:t>.</w:t>
      </w:r>
    </w:p>
    <w:p w:rsidR="008805F3" w:rsidRPr="00C70AAA" w:rsidRDefault="008805F3" w:rsidP="008805F3">
      <w:pPr>
        <w:rPr>
          <w:sz w:val="22"/>
          <w:szCs w:val="22"/>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5421E7" w:rsidRDefault="005421E7" w:rsidP="008805F3">
      <w:pPr>
        <w:rPr>
          <w:lang w:val="en-ZA"/>
        </w:rPr>
      </w:pPr>
    </w:p>
    <w:p w:rsidR="00042F57" w:rsidRDefault="00042F57" w:rsidP="008805F3">
      <w:pPr>
        <w:rPr>
          <w:lang w:val="en-ZA"/>
        </w:rPr>
      </w:pPr>
    </w:p>
    <w:p w:rsidR="00E43CA3" w:rsidRDefault="00941965" w:rsidP="00AC428B">
      <w:pPr>
        <w:pStyle w:val="Caption"/>
        <w:tabs>
          <w:tab w:val="left" w:pos="851"/>
        </w:tabs>
        <w:rPr>
          <w:color w:val="984806"/>
          <w:sz w:val="20"/>
          <w:szCs w:val="20"/>
        </w:rPr>
      </w:pPr>
      <w:bookmarkStart w:id="82" w:name="_Toc356917099"/>
      <w:bookmarkStart w:id="83" w:name="_Toc509209331"/>
      <w:bookmarkStart w:id="84" w:name="_Toc356917098"/>
      <w:r w:rsidRPr="00DE2254">
        <w:rPr>
          <w:color w:val="984806"/>
          <w:sz w:val="20"/>
          <w:szCs w:val="20"/>
        </w:rPr>
        <w:lastRenderedPageBreak/>
        <w:t>Table 13</w:t>
      </w:r>
      <w:r w:rsidRPr="00DE2254">
        <w:rPr>
          <w:color w:val="984806"/>
          <w:sz w:val="20"/>
          <w:szCs w:val="20"/>
        </w:rPr>
        <w:tab/>
        <w:t>MBRR NT A6 - Budgeted Financial Position</w:t>
      </w:r>
      <w:bookmarkEnd w:id="82"/>
      <w:bookmarkEnd w:id="83"/>
      <w:r w:rsidR="00736C5B">
        <w:rPr>
          <w:color w:val="984806"/>
          <w:sz w:val="20"/>
          <w:szCs w:val="20"/>
        </w:rPr>
        <w:br/>
      </w:r>
      <w:r w:rsidR="00611BA9" w:rsidRPr="00611BA9">
        <w:rPr>
          <w:szCs w:val="20"/>
        </w:rPr>
        <w:drawing>
          <wp:inline distT="0" distB="0" distL="0" distR="0">
            <wp:extent cx="6560820" cy="8770620"/>
            <wp:effectExtent l="1905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6562863" cy="8773351"/>
                    </a:xfrm>
                    <a:prstGeom prst="rect">
                      <a:avLst/>
                    </a:prstGeom>
                    <a:noFill/>
                    <a:ln w="9525">
                      <a:noFill/>
                      <a:miter lim="800000"/>
                      <a:headEnd/>
                      <a:tailEnd/>
                    </a:ln>
                  </pic:spPr>
                </pic:pic>
              </a:graphicData>
            </a:graphic>
          </wp:inline>
        </w:drawing>
      </w:r>
    </w:p>
    <w:p w:rsidR="00DE381B" w:rsidRPr="00C70AAA" w:rsidRDefault="00DE381B" w:rsidP="00DE381B">
      <w:pPr>
        <w:spacing w:line="276" w:lineRule="auto"/>
        <w:jc w:val="both"/>
        <w:rPr>
          <w:rFonts w:cs="Arial"/>
          <w:b/>
          <w:sz w:val="22"/>
          <w:szCs w:val="22"/>
        </w:rPr>
      </w:pPr>
      <w:bookmarkStart w:id="85" w:name="_Toc287342464"/>
      <w:bookmarkStart w:id="86" w:name="_Toc287815460"/>
      <w:bookmarkEnd w:id="84"/>
      <w:r w:rsidRPr="00C70AAA">
        <w:rPr>
          <w:rFonts w:cs="Arial"/>
          <w:b/>
          <w:sz w:val="22"/>
          <w:szCs w:val="22"/>
        </w:rPr>
        <w:lastRenderedPageBreak/>
        <w:t>Explanatory notes to Table A6 - Budgeted Financial Position</w:t>
      </w:r>
    </w:p>
    <w:p w:rsidR="00DE381B" w:rsidRPr="00C70AAA" w:rsidRDefault="00DE381B" w:rsidP="00DE381B">
      <w:pPr>
        <w:spacing w:line="276" w:lineRule="auto"/>
        <w:jc w:val="both"/>
        <w:rPr>
          <w:rFonts w:cs="Arial"/>
          <w:b/>
          <w:sz w:val="22"/>
          <w:szCs w:val="22"/>
        </w:rPr>
      </w:pPr>
    </w:p>
    <w:p w:rsidR="00DE381B" w:rsidRPr="00C70AAA" w:rsidRDefault="00DE381B" w:rsidP="00DE381B">
      <w:pPr>
        <w:pStyle w:val="Default"/>
        <w:numPr>
          <w:ilvl w:val="0"/>
          <w:numId w:val="10"/>
        </w:numPr>
        <w:spacing w:line="276" w:lineRule="auto"/>
        <w:ind w:left="360"/>
        <w:jc w:val="both"/>
        <w:rPr>
          <w:sz w:val="22"/>
          <w:szCs w:val="22"/>
        </w:rPr>
      </w:pPr>
      <w:r w:rsidRPr="00C70AAA">
        <w:rPr>
          <w:sz w:val="22"/>
          <w:szCs w:val="22"/>
        </w:rPr>
        <w:t>Table A6 is consistent with international standards of good financial management practice, and improves understandability for councilors and management of the impact of the budget on the statement of financial position (balance sheet).</w:t>
      </w:r>
    </w:p>
    <w:p w:rsidR="00DE381B" w:rsidRPr="00C70AAA" w:rsidRDefault="00DE381B" w:rsidP="00DE381B">
      <w:pPr>
        <w:pStyle w:val="Default"/>
        <w:numPr>
          <w:ilvl w:val="0"/>
          <w:numId w:val="10"/>
        </w:numPr>
        <w:spacing w:line="276" w:lineRule="auto"/>
        <w:ind w:left="360"/>
        <w:jc w:val="both"/>
        <w:rPr>
          <w:sz w:val="22"/>
          <w:szCs w:val="22"/>
        </w:rPr>
      </w:pPr>
      <w:r w:rsidRPr="00C70AAA">
        <w:rPr>
          <w:sz w:val="22"/>
          <w:szCs w:val="22"/>
        </w:rPr>
        <w:t>This format of presenting the statement of financial position is aligned to GRAP1, which is generally aligned to the international version which presents Assets less Liabilities as “accounting” Community Wealth.  The order of items within each group illustrates items in order of liquidity; i.e. assets readily converted to cash, or liabilities immediately required to be met from cash, appear first.</w:t>
      </w:r>
    </w:p>
    <w:p w:rsidR="00DE381B" w:rsidRPr="00C70AAA" w:rsidRDefault="00DE381B" w:rsidP="00DE381B">
      <w:pPr>
        <w:pStyle w:val="Default"/>
        <w:numPr>
          <w:ilvl w:val="0"/>
          <w:numId w:val="10"/>
        </w:numPr>
        <w:spacing w:line="276" w:lineRule="auto"/>
        <w:ind w:left="360"/>
        <w:jc w:val="both"/>
        <w:rPr>
          <w:sz w:val="22"/>
          <w:szCs w:val="22"/>
        </w:rPr>
      </w:pPr>
      <w:r w:rsidRPr="00C70AAA">
        <w:rPr>
          <w:sz w:val="22"/>
          <w:szCs w:val="22"/>
        </w:rPr>
        <w:t>The municipal equivalent of equity is Community Wealth/Equity. The justification is that ownership and the net assets of the municipality belong to the community.</w:t>
      </w:r>
    </w:p>
    <w:p w:rsidR="00DE381B" w:rsidRPr="00C70AAA" w:rsidRDefault="00DE381B" w:rsidP="00DE381B">
      <w:pPr>
        <w:pStyle w:val="Default"/>
        <w:numPr>
          <w:ilvl w:val="0"/>
          <w:numId w:val="10"/>
        </w:numPr>
        <w:spacing w:line="276" w:lineRule="auto"/>
        <w:ind w:left="360"/>
        <w:jc w:val="both"/>
        <w:rPr>
          <w:sz w:val="22"/>
          <w:szCs w:val="22"/>
        </w:rPr>
      </w:pPr>
      <w:r w:rsidRPr="00C70AAA">
        <w:rPr>
          <w:sz w:val="22"/>
          <w:szCs w:val="22"/>
        </w:rPr>
        <w:t>Any movement on the Budgeted Financial Performance or the Capital Budget will inevitably impact on the Budgeted Financial Position. As an example, the collection rate assumption will impact on the cash position of the municipality and subsequently inform the level of cash and cash equivalents at year end. Similarly, the collection rate assumption should inform the budget appropriation for debt impairment which in turn would impact on the provision for bad debt. These budget and planning assumptions form a critical link in determining the applicability and relevance of the budget as well as the determination of ratios and financial indicators. In addition the funding compliance assessment is informed directly by forecasting the statement of financial position.</w:t>
      </w:r>
    </w:p>
    <w:p w:rsidR="00235120" w:rsidRDefault="00235120"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235120">
      <w:pPr>
        <w:spacing w:line="276" w:lineRule="auto"/>
        <w:jc w:val="both"/>
        <w:rPr>
          <w:rFonts w:cs="Arial"/>
          <w:b/>
          <w:sz w:val="20"/>
          <w:szCs w:val="20"/>
        </w:rPr>
      </w:pPr>
    </w:p>
    <w:p w:rsidR="00C70AAA" w:rsidRDefault="00C70AAA" w:rsidP="00941965">
      <w:pPr>
        <w:pStyle w:val="Caption"/>
        <w:tabs>
          <w:tab w:val="left" w:pos="851"/>
        </w:tabs>
        <w:rPr>
          <w:color w:val="984806"/>
          <w:szCs w:val="22"/>
        </w:rPr>
        <w:sectPr w:rsidR="00C70AAA" w:rsidSect="003979D6">
          <w:pgSz w:w="11907" w:h="16840" w:code="9"/>
          <w:pgMar w:top="1134" w:right="1134" w:bottom="1134" w:left="1134" w:header="720" w:footer="720" w:gutter="0"/>
          <w:cols w:space="720" w:equalWidth="0">
            <w:col w:w="9659"/>
          </w:cols>
          <w:noEndnote/>
          <w:docGrid w:linePitch="360"/>
        </w:sectPr>
      </w:pPr>
      <w:bookmarkStart w:id="87" w:name="_Toc287342465"/>
      <w:bookmarkStart w:id="88" w:name="_Toc356917100"/>
      <w:bookmarkStart w:id="89" w:name="_Toc509209333"/>
      <w:bookmarkEnd w:id="85"/>
      <w:bookmarkEnd w:id="86"/>
    </w:p>
    <w:p w:rsidR="00941965" w:rsidRPr="00C70AAA" w:rsidRDefault="00941965" w:rsidP="00941965">
      <w:pPr>
        <w:pStyle w:val="Caption"/>
        <w:tabs>
          <w:tab w:val="left" w:pos="851"/>
        </w:tabs>
        <w:rPr>
          <w:color w:val="984806"/>
          <w:szCs w:val="22"/>
        </w:rPr>
      </w:pPr>
      <w:r w:rsidRPr="00DE2254">
        <w:rPr>
          <w:color w:val="984806"/>
          <w:szCs w:val="22"/>
        </w:rPr>
        <w:lastRenderedPageBreak/>
        <w:t>Table 14</w:t>
      </w:r>
      <w:r w:rsidRPr="00DE2254">
        <w:rPr>
          <w:color w:val="984806"/>
          <w:szCs w:val="22"/>
        </w:rPr>
        <w:tab/>
        <w:t>MBRR NT A7 - Budgeted Cash Flow Statement</w:t>
      </w:r>
      <w:bookmarkEnd w:id="87"/>
      <w:bookmarkEnd w:id="88"/>
      <w:bookmarkEnd w:id="89"/>
    </w:p>
    <w:p w:rsidR="00E43CA3" w:rsidRDefault="00E43CA3" w:rsidP="00DE381B">
      <w:pPr>
        <w:spacing w:line="276" w:lineRule="auto"/>
        <w:jc w:val="both"/>
        <w:rPr>
          <w:rFonts w:cs="Arial"/>
          <w:b/>
          <w:sz w:val="20"/>
          <w:szCs w:val="20"/>
        </w:rPr>
      </w:pPr>
    </w:p>
    <w:p w:rsidR="00C70AAA" w:rsidRDefault="00C70AAA" w:rsidP="00DE381B">
      <w:pPr>
        <w:spacing w:line="276" w:lineRule="auto"/>
        <w:jc w:val="both"/>
        <w:rPr>
          <w:rFonts w:cs="Arial"/>
          <w:b/>
          <w:sz w:val="22"/>
          <w:szCs w:val="22"/>
        </w:rPr>
      </w:pPr>
    </w:p>
    <w:p w:rsidR="00C70AAA" w:rsidRDefault="00C70AAA" w:rsidP="00DE381B">
      <w:pPr>
        <w:spacing w:line="276" w:lineRule="auto"/>
        <w:jc w:val="both"/>
        <w:rPr>
          <w:rFonts w:cs="Arial"/>
          <w:b/>
          <w:sz w:val="22"/>
          <w:szCs w:val="22"/>
        </w:rPr>
        <w:sectPr w:rsidR="00C70AAA" w:rsidSect="00C70AAA">
          <w:pgSz w:w="16840" w:h="11907" w:orient="landscape" w:code="9"/>
          <w:pgMar w:top="1134" w:right="1134" w:bottom="1134" w:left="1134" w:header="720" w:footer="720" w:gutter="0"/>
          <w:cols w:space="720" w:equalWidth="0">
            <w:col w:w="9659"/>
          </w:cols>
          <w:noEndnote/>
          <w:docGrid w:linePitch="360"/>
        </w:sectPr>
      </w:pPr>
    </w:p>
    <w:p w:rsidR="00DE381B" w:rsidRPr="00C70AAA" w:rsidRDefault="00DE381B" w:rsidP="00DE381B">
      <w:pPr>
        <w:spacing w:line="276" w:lineRule="auto"/>
        <w:jc w:val="both"/>
        <w:rPr>
          <w:rFonts w:cs="Arial"/>
          <w:b/>
          <w:sz w:val="22"/>
          <w:szCs w:val="22"/>
        </w:rPr>
      </w:pPr>
      <w:r w:rsidRPr="00C70AAA">
        <w:rPr>
          <w:rFonts w:cs="Arial"/>
          <w:b/>
          <w:sz w:val="22"/>
          <w:szCs w:val="22"/>
        </w:rPr>
        <w:lastRenderedPageBreak/>
        <w:t>Explanatory notes to Table A7 - Budgeted Cash Flow Statement</w:t>
      </w:r>
    </w:p>
    <w:p w:rsidR="00DE381B" w:rsidRPr="00C70AAA" w:rsidRDefault="00DE381B" w:rsidP="00DE381B">
      <w:pPr>
        <w:spacing w:line="276" w:lineRule="auto"/>
        <w:jc w:val="both"/>
        <w:rPr>
          <w:rFonts w:cs="Arial"/>
          <w:b/>
          <w:sz w:val="22"/>
          <w:szCs w:val="22"/>
        </w:rPr>
      </w:pPr>
    </w:p>
    <w:p w:rsidR="00DE381B" w:rsidRPr="00C70AAA" w:rsidRDefault="00DE381B" w:rsidP="00DE381B">
      <w:pPr>
        <w:pStyle w:val="Default"/>
        <w:numPr>
          <w:ilvl w:val="0"/>
          <w:numId w:val="9"/>
        </w:numPr>
        <w:spacing w:line="276" w:lineRule="auto"/>
        <w:jc w:val="both"/>
        <w:rPr>
          <w:sz w:val="22"/>
          <w:szCs w:val="22"/>
        </w:rPr>
      </w:pPr>
      <w:r w:rsidRPr="00C70AAA">
        <w:rPr>
          <w:sz w:val="22"/>
          <w:szCs w:val="22"/>
        </w:rPr>
        <w:t>The budgeted cash flow statement is the first measurement in determining if the budget is funded.</w:t>
      </w:r>
    </w:p>
    <w:p w:rsidR="00DE381B" w:rsidRPr="00C70AAA" w:rsidRDefault="00DE381B" w:rsidP="00DE381B">
      <w:pPr>
        <w:pStyle w:val="Default"/>
        <w:numPr>
          <w:ilvl w:val="0"/>
          <w:numId w:val="9"/>
        </w:numPr>
        <w:spacing w:line="276" w:lineRule="auto"/>
        <w:jc w:val="both"/>
        <w:rPr>
          <w:sz w:val="22"/>
          <w:szCs w:val="22"/>
        </w:rPr>
      </w:pPr>
      <w:r w:rsidRPr="00C70AAA">
        <w:rPr>
          <w:sz w:val="22"/>
          <w:szCs w:val="22"/>
        </w:rPr>
        <w:t>It shows the expected level of cash in-flow versus cash out-flow that is likely to result from the implementation of the budget.</w:t>
      </w:r>
    </w:p>
    <w:p w:rsidR="008044CB" w:rsidRPr="00235120" w:rsidRDefault="008044CB" w:rsidP="00235120">
      <w:pPr>
        <w:rPr>
          <w:color w:val="0000CC"/>
          <w:sz w:val="16"/>
          <w:szCs w:val="16"/>
        </w:rPr>
      </w:pPr>
    </w:p>
    <w:p w:rsidR="00AC428B" w:rsidRDefault="00AC428B" w:rsidP="00AC428B">
      <w:pPr>
        <w:rPr>
          <w:lang w:val="en-ZA"/>
        </w:rPr>
      </w:pPr>
    </w:p>
    <w:p w:rsidR="00AC428B" w:rsidRPr="00AC428B" w:rsidRDefault="00AC428B" w:rsidP="00AC428B">
      <w:pPr>
        <w:rPr>
          <w:lang w:val="en-ZA"/>
        </w:rPr>
      </w:pPr>
    </w:p>
    <w:p w:rsidR="002D2586" w:rsidRDefault="002D2586">
      <w:pPr>
        <w:rPr>
          <w:rFonts w:cs="Arial"/>
          <w:b/>
          <w:color w:val="984806"/>
          <w:sz w:val="32"/>
          <w:szCs w:val="32"/>
          <w:lang w:val="en-GB"/>
        </w:rPr>
      </w:pPr>
      <w:bookmarkStart w:id="90" w:name="_Toc287813577"/>
      <w:bookmarkStart w:id="91" w:name="_Toc286034102"/>
      <w:bookmarkStart w:id="92" w:name="_Toc286034693"/>
      <w:bookmarkStart w:id="93" w:name="_Toc286041439"/>
      <w:bookmarkStart w:id="94" w:name="_Toc286041508"/>
      <w:bookmarkStart w:id="95" w:name="_Toc286117319"/>
      <w:bookmarkStart w:id="96" w:name="_Toc287342530"/>
      <w:bookmarkStart w:id="97" w:name="_Toc287797049"/>
      <w:bookmarkEnd w:id="90"/>
      <w:r>
        <w:rPr>
          <w:rFonts w:cs="Arial"/>
          <w:b/>
          <w:color w:val="984806"/>
          <w:sz w:val="32"/>
          <w:szCs w:val="32"/>
        </w:rPr>
        <w:br w:type="page"/>
      </w:r>
    </w:p>
    <w:p w:rsidR="001636A0" w:rsidRDefault="00A63D5E" w:rsidP="00A46A8E">
      <w:pPr>
        <w:pStyle w:val="Paragraph"/>
        <w:tabs>
          <w:tab w:val="clear" w:pos="284"/>
          <w:tab w:val="clear" w:pos="567"/>
          <w:tab w:val="clear" w:pos="851"/>
        </w:tabs>
        <w:spacing w:after="0" w:line="276" w:lineRule="auto"/>
        <w:jc w:val="center"/>
        <w:rPr>
          <w:rFonts w:ascii="Arial" w:hAnsi="Arial" w:cs="Arial"/>
          <w:b/>
          <w:color w:val="984806"/>
          <w:sz w:val="32"/>
          <w:szCs w:val="32"/>
        </w:rPr>
      </w:pPr>
      <w:r>
        <w:rPr>
          <w:rFonts w:ascii="Arial" w:hAnsi="Arial" w:cs="Arial"/>
          <w:b/>
          <w:noProof/>
          <w:color w:val="984806"/>
          <w:sz w:val="32"/>
          <w:szCs w:val="32"/>
          <w:lang w:val="en-US"/>
        </w:rPr>
        <w:lastRenderedPageBreak/>
        <w:drawing>
          <wp:anchor distT="0" distB="0" distL="114300" distR="114300" simplePos="0" relativeHeight="251706368" behindDoc="1" locked="0" layoutInCell="1" allowOverlap="1">
            <wp:simplePos x="0" y="0"/>
            <wp:positionH relativeFrom="column">
              <wp:posOffset>-1546860</wp:posOffset>
            </wp:positionH>
            <wp:positionV relativeFrom="paragraph">
              <wp:posOffset>-18211800</wp:posOffset>
            </wp:positionV>
            <wp:extent cx="9787890" cy="5581650"/>
            <wp:effectExtent l="19050" t="0" r="3810" b="0"/>
            <wp:wrapNone/>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srcRect/>
                    <a:stretch>
                      <a:fillRect/>
                    </a:stretch>
                  </pic:blipFill>
                  <pic:spPr bwMode="auto">
                    <a:xfrm>
                      <a:off x="0" y="0"/>
                      <a:ext cx="9787890" cy="5581650"/>
                    </a:xfrm>
                    <a:prstGeom prst="rect">
                      <a:avLst/>
                    </a:prstGeom>
                    <a:noFill/>
                    <a:ln w="9525">
                      <a:noFill/>
                      <a:miter lim="800000"/>
                      <a:headEnd/>
                      <a:tailEnd/>
                    </a:ln>
                  </pic:spPr>
                </pic:pic>
              </a:graphicData>
            </a:graphic>
          </wp:anchor>
        </w:drawing>
      </w:r>
      <w:r w:rsidR="001636A0" w:rsidRPr="009B29B4">
        <w:rPr>
          <w:rFonts w:ascii="Arial" w:hAnsi="Arial" w:cs="Arial"/>
          <w:b/>
          <w:color w:val="984806"/>
          <w:sz w:val="32"/>
          <w:szCs w:val="32"/>
        </w:rPr>
        <w:t>Part 2 – Supporting Documentation</w:t>
      </w:r>
    </w:p>
    <w:p w:rsidR="00A46A8E" w:rsidRDefault="00A46A8E" w:rsidP="00A46A8E">
      <w:pPr>
        <w:pStyle w:val="Paragraph"/>
        <w:tabs>
          <w:tab w:val="clear" w:pos="284"/>
          <w:tab w:val="clear" w:pos="567"/>
          <w:tab w:val="clear" w:pos="851"/>
        </w:tabs>
        <w:spacing w:after="0" w:line="276" w:lineRule="auto"/>
        <w:jc w:val="center"/>
        <w:rPr>
          <w:rFonts w:ascii="Arial" w:hAnsi="Arial" w:cs="Arial"/>
          <w:b/>
          <w:color w:val="984806"/>
          <w:sz w:val="32"/>
          <w:szCs w:val="32"/>
        </w:rPr>
      </w:pPr>
    </w:p>
    <w:p w:rsidR="00A46A8E" w:rsidRPr="009B29B4" w:rsidRDefault="00A46A8E" w:rsidP="00A46A8E">
      <w:pPr>
        <w:pStyle w:val="Paragraph"/>
        <w:tabs>
          <w:tab w:val="clear" w:pos="284"/>
          <w:tab w:val="clear" w:pos="567"/>
          <w:tab w:val="clear" w:pos="851"/>
        </w:tabs>
        <w:spacing w:after="0" w:line="276" w:lineRule="auto"/>
        <w:jc w:val="center"/>
        <w:rPr>
          <w:rFonts w:ascii="Arial" w:hAnsi="Arial" w:cs="Arial"/>
          <w:b/>
          <w:bCs/>
          <w:vanish/>
          <w:color w:val="984806"/>
          <w:kern w:val="32"/>
          <w:sz w:val="32"/>
          <w:szCs w:val="32"/>
        </w:rPr>
      </w:pPr>
    </w:p>
    <w:p w:rsidR="001947F0" w:rsidRPr="009B29B4" w:rsidRDefault="001947F0" w:rsidP="001947F0">
      <w:pPr>
        <w:pStyle w:val="Paragraph"/>
        <w:tabs>
          <w:tab w:val="clear" w:pos="284"/>
          <w:tab w:val="clear" w:pos="567"/>
          <w:tab w:val="clear" w:pos="851"/>
        </w:tabs>
        <w:spacing w:after="0" w:line="276" w:lineRule="auto"/>
        <w:rPr>
          <w:rFonts w:ascii="Arial" w:hAnsi="Arial" w:cs="Arial"/>
          <w:color w:val="984806"/>
          <w:sz w:val="20"/>
        </w:rPr>
      </w:pPr>
    </w:p>
    <w:p w:rsidR="005A697F" w:rsidRPr="009B29B4" w:rsidRDefault="005A697F" w:rsidP="000836A3">
      <w:pPr>
        <w:pStyle w:val="Heading2"/>
        <w:numPr>
          <w:ilvl w:val="1"/>
          <w:numId w:val="9"/>
        </w:numPr>
        <w:ind w:left="567" w:hanging="567"/>
        <w:rPr>
          <w:color w:val="984806"/>
        </w:rPr>
      </w:pPr>
      <w:bookmarkStart w:id="98" w:name="_Toc356917071"/>
      <w:bookmarkStart w:id="99" w:name="_Toc3962568"/>
      <w:r w:rsidRPr="009B29B4">
        <w:rPr>
          <w:color w:val="984806"/>
        </w:rPr>
        <w:t>Overview of the annual budget process</w:t>
      </w:r>
      <w:bookmarkEnd w:id="91"/>
      <w:bookmarkEnd w:id="92"/>
      <w:bookmarkEnd w:id="93"/>
      <w:bookmarkEnd w:id="94"/>
      <w:bookmarkEnd w:id="95"/>
      <w:bookmarkEnd w:id="96"/>
      <w:bookmarkEnd w:id="97"/>
      <w:bookmarkEnd w:id="98"/>
      <w:bookmarkEnd w:id="99"/>
    </w:p>
    <w:p w:rsidR="005A697F" w:rsidRPr="006B215D" w:rsidRDefault="005A697F" w:rsidP="006B215D">
      <w:pPr>
        <w:pStyle w:val="Paragraph"/>
        <w:tabs>
          <w:tab w:val="clear" w:pos="284"/>
          <w:tab w:val="clear" w:pos="567"/>
          <w:tab w:val="clear" w:pos="851"/>
        </w:tabs>
        <w:spacing w:after="0" w:line="276" w:lineRule="auto"/>
        <w:rPr>
          <w:rFonts w:ascii="Arial" w:hAnsi="Arial" w:cs="Arial"/>
          <w:sz w:val="20"/>
        </w:rPr>
      </w:pPr>
    </w:p>
    <w:p w:rsidR="005A697F" w:rsidRPr="00C70AAA" w:rsidRDefault="005A697F" w:rsidP="006B215D">
      <w:pPr>
        <w:pStyle w:val="Paragraph"/>
        <w:tabs>
          <w:tab w:val="clear" w:pos="284"/>
          <w:tab w:val="clear" w:pos="567"/>
          <w:tab w:val="clear" w:pos="851"/>
        </w:tabs>
        <w:spacing w:after="0" w:line="276" w:lineRule="auto"/>
        <w:rPr>
          <w:rFonts w:ascii="Arial" w:hAnsi="Arial" w:cs="Arial"/>
          <w:szCs w:val="22"/>
        </w:rPr>
      </w:pPr>
      <w:r w:rsidRPr="00C70AAA">
        <w:rPr>
          <w:rFonts w:ascii="Arial" w:hAnsi="Arial" w:cs="Arial"/>
          <w:szCs w:val="22"/>
        </w:rPr>
        <w:t xml:space="preserve">Section 53 of the MFMA requires the Mayor of the municipality to provide general political guidance in the budget process and the setting of priorities that must guide the preparation of the budget. In addition Chapter 2 of the Municipal Budget and Reporting Regulations states that the Mayor of the municipality must establish a Budget Steering Committee to provide technical assistance to the Mayor in discharging the responsibilities set out in section 53 of the Act. </w:t>
      </w:r>
    </w:p>
    <w:p w:rsidR="005A697F" w:rsidRPr="00C70AAA" w:rsidRDefault="005A697F" w:rsidP="006B215D">
      <w:pPr>
        <w:spacing w:line="276" w:lineRule="auto"/>
        <w:jc w:val="both"/>
        <w:rPr>
          <w:rFonts w:cs="Arial"/>
          <w:sz w:val="22"/>
          <w:szCs w:val="22"/>
        </w:rPr>
      </w:pPr>
    </w:p>
    <w:p w:rsidR="005A697F" w:rsidRPr="00C70AAA" w:rsidRDefault="005A697F" w:rsidP="006B215D">
      <w:pPr>
        <w:pStyle w:val="Paragraph"/>
        <w:tabs>
          <w:tab w:val="clear" w:pos="284"/>
          <w:tab w:val="clear" w:pos="567"/>
          <w:tab w:val="clear" w:pos="851"/>
        </w:tabs>
        <w:spacing w:after="0" w:line="276" w:lineRule="auto"/>
        <w:rPr>
          <w:rFonts w:ascii="Arial" w:hAnsi="Arial" w:cs="Arial"/>
          <w:szCs w:val="22"/>
        </w:rPr>
      </w:pPr>
      <w:r w:rsidRPr="00C70AAA">
        <w:rPr>
          <w:rFonts w:ascii="Arial" w:hAnsi="Arial" w:cs="Arial"/>
          <w:szCs w:val="22"/>
        </w:rPr>
        <w:t xml:space="preserve">The Budget Steering Committee consists of the Municipal Manager and senior officials of the municipality meeting under the chairpersonship of the </w:t>
      </w:r>
      <w:r w:rsidR="001947F0" w:rsidRPr="00C70AAA">
        <w:rPr>
          <w:rFonts w:ascii="Arial" w:hAnsi="Arial" w:cs="Arial"/>
          <w:szCs w:val="22"/>
        </w:rPr>
        <w:t xml:space="preserve">Executive Mayor and/or </w:t>
      </w:r>
      <w:r w:rsidRPr="00C70AAA">
        <w:rPr>
          <w:rFonts w:ascii="Arial" w:hAnsi="Arial" w:cs="Arial"/>
          <w:szCs w:val="22"/>
        </w:rPr>
        <w:t xml:space="preserve">MMC for Finance. </w:t>
      </w:r>
    </w:p>
    <w:p w:rsidR="005A697F" w:rsidRPr="00C70AAA" w:rsidRDefault="005A697F" w:rsidP="006B215D">
      <w:pPr>
        <w:pStyle w:val="Paragraph"/>
        <w:tabs>
          <w:tab w:val="clear" w:pos="284"/>
          <w:tab w:val="clear" w:pos="567"/>
          <w:tab w:val="clear" w:pos="851"/>
        </w:tabs>
        <w:spacing w:after="0" w:line="276" w:lineRule="auto"/>
        <w:rPr>
          <w:rFonts w:ascii="Arial" w:hAnsi="Arial" w:cs="Arial"/>
          <w:szCs w:val="22"/>
        </w:rPr>
      </w:pPr>
    </w:p>
    <w:p w:rsidR="005A697F" w:rsidRPr="00C70AAA" w:rsidRDefault="005A697F" w:rsidP="006B215D">
      <w:pPr>
        <w:pStyle w:val="Paragraph"/>
        <w:tabs>
          <w:tab w:val="clear" w:pos="284"/>
          <w:tab w:val="clear" w:pos="567"/>
          <w:tab w:val="clear" w:pos="851"/>
        </w:tabs>
        <w:spacing w:after="0" w:line="276" w:lineRule="auto"/>
        <w:rPr>
          <w:rFonts w:ascii="Arial" w:hAnsi="Arial" w:cs="Arial"/>
          <w:szCs w:val="22"/>
        </w:rPr>
      </w:pPr>
      <w:r w:rsidRPr="00C70AAA">
        <w:rPr>
          <w:rFonts w:ascii="Arial" w:hAnsi="Arial" w:cs="Arial"/>
          <w:szCs w:val="22"/>
        </w:rPr>
        <w:t>The primary aim of the Budget Steering Committee is to ensure:</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that the process followed to compile the budget complies with legislation and good budget practices;</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 xml:space="preserve">that there is proper alignment between the policy and service delivery priorities set out in the </w:t>
      </w:r>
      <w:r w:rsidR="00A52B13" w:rsidRPr="00C70AAA">
        <w:rPr>
          <w:rFonts w:cs="Arial"/>
          <w:sz w:val="22"/>
          <w:szCs w:val="22"/>
        </w:rPr>
        <w:t>Municipality</w:t>
      </w:r>
      <w:r w:rsidRPr="00C70AAA">
        <w:rPr>
          <w:rFonts w:cs="Arial"/>
          <w:sz w:val="22"/>
          <w:szCs w:val="22"/>
        </w:rPr>
        <w:t xml:space="preserve">’s IDP and the budget, taking into account the need to protect the financial sustainability of municipality; </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that the municipality’s revenue and tariff setting strategies ensure that the cash resources needed to deliver services are available; and</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that the various spending priorities of the different municipal departments are properly evaluated and prioritised in the allocation of resources.</w:t>
      </w:r>
    </w:p>
    <w:p w:rsidR="005A697F" w:rsidRPr="00C70AAA" w:rsidRDefault="005A697F" w:rsidP="006B215D">
      <w:pPr>
        <w:pStyle w:val="Paragraph"/>
        <w:tabs>
          <w:tab w:val="clear" w:pos="284"/>
          <w:tab w:val="clear" w:pos="567"/>
          <w:tab w:val="clear" w:pos="851"/>
        </w:tabs>
        <w:spacing w:after="0" w:line="276" w:lineRule="auto"/>
        <w:rPr>
          <w:rFonts w:ascii="Arial" w:hAnsi="Arial" w:cs="Arial"/>
          <w:szCs w:val="22"/>
        </w:rPr>
      </w:pPr>
    </w:p>
    <w:p w:rsidR="005A697F" w:rsidRPr="000836A3" w:rsidRDefault="005A697F" w:rsidP="002D6413">
      <w:pPr>
        <w:pStyle w:val="Heading2"/>
        <w:numPr>
          <w:ilvl w:val="1"/>
          <w:numId w:val="9"/>
        </w:numPr>
        <w:ind w:left="567" w:hanging="576"/>
        <w:rPr>
          <w:color w:val="984806"/>
        </w:rPr>
      </w:pPr>
      <w:bookmarkStart w:id="100" w:name="_Toc286034103"/>
      <w:bookmarkStart w:id="101" w:name="_Toc286034694"/>
      <w:bookmarkStart w:id="102" w:name="_Toc287797050"/>
      <w:bookmarkStart w:id="103" w:name="_Toc356917072"/>
      <w:bookmarkStart w:id="104" w:name="_Toc3962569"/>
      <w:r w:rsidRPr="000836A3">
        <w:rPr>
          <w:color w:val="984806"/>
        </w:rPr>
        <w:t>Budget Process Overview</w:t>
      </w:r>
      <w:bookmarkEnd w:id="100"/>
      <w:bookmarkEnd w:id="101"/>
      <w:bookmarkEnd w:id="102"/>
      <w:bookmarkEnd w:id="103"/>
      <w:bookmarkEnd w:id="104"/>
    </w:p>
    <w:p w:rsidR="005A697F" w:rsidRPr="006B215D" w:rsidRDefault="005A697F" w:rsidP="006B215D">
      <w:pPr>
        <w:pStyle w:val="Paragraph"/>
        <w:tabs>
          <w:tab w:val="clear" w:pos="284"/>
          <w:tab w:val="clear" w:pos="567"/>
          <w:tab w:val="clear" w:pos="851"/>
        </w:tabs>
        <w:spacing w:after="0" w:line="276" w:lineRule="auto"/>
        <w:rPr>
          <w:rFonts w:ascii="Arial" w:hAnsi="Arial" w:cs="Arial"/>
          <w:sz w:val="20"/>
        </w:rPr>
      </w:pPr>
    </w:p>
    <w:p w:rsidR="005A697F" w:rsidRPr="00C70AAA" w:rsidRDefault="005A697F" w:rsidP="006B215D">
      <w:pPr>
        <w:pStyle w:val="Paragraph"/>
        <w:tabs>
          <w:tab w:val="clear" w:pos="284"/>
          <w:tab w:val="clear" w:pos="567"/>
          <w:tab w:val="clear" w:pos="851"/>
        </w:tabs>
        <w:spacing w:after="0" w:line="276" w:lineRule="auto"/>
        <w:rPr>
          <w:rFonts w:ascii="Arial" w:hAnsi="Arial" w:cs="Arial"/>
          <w:szCs w:val="22"/>
        </w:rPr>
      </w:pPr>
      <w:r w:rsidRPr="00C70AAA">
        <w:rPr>
          <w:rFonts w:ascii="Arial" w:hAnsi="Arial" w:cs="Arial"/>
          <w:szCs w:val="22"/>
        </w:rPr>
        <w:t>In terms of section 21 of the MFMA the Mayor is required to table in Council ten months before the s</w:t>
      </w:r>
      <w:r w:rsidR="00E43CA3" w:rsidRPr="00C70AAA">
        <w:rPr>
          <w:rFonts w:ascii="Arial" w:hAnsi="Arial" w:cs="Arial"/>
          <w:szCs w:val="22"/>
        </w:rPr>
        <w:t>tart of the new financial year,</w:t>
      </w:r>
      <w:r w:rsidRPr="00C70AAA">
        <w:rPr>
          <w:rFonts w:ascii="Arial" w:hAnsi="Arial" w:cs="Arial"/>
          <w:szCs w:val="22"/>
        </w:rPr>
        <w:t xml:space="preserve"> a time schedule that sets out the process to revise the IDP and prepare the budget. </w:t>
      </w:r>
    </w:p>
    <w:p w:rsidR="005A697F" w:rsidRPr="00C70AAA" w:rsidRDefault="005A697F" w:rsidP="006B215D">
      <w:pPr>
        <w:pStyle w:val="Paragraph"/>
        <w:tabs>
          <w:tab w:val="clear" w:pos="284"/>
          <w:tab w:val="clear" w:pos="567"/>
          <w:tab w:val="clear" w:pos="851"/>
        </w:tabs>
        <w:spacing w:after="0" w:line="276" w:lineRule="auto"/>
        <w:rPr>
          <w:rFonts w:ascii="Arial" w:hAnsi="Arial" w:cs="Arial"/>
          <w:szCs w:val="22"/>
        </w:rPr>
      </w:pPr>
    </w:p>
    <w:p w:rsidR="00585AA7" w:rsidRDefault="005A697F" w:rsidP="006B215D">
      <w:pPr>
        <w:spacing w:line="276" w:lineRule="auto"/>
        <w:jc w:val="both"/>
        <w:rPr>
          <w:rFonts w:cs="Arial"/>
          <w:sz w:val="20"/>
          <w:szCs w:val="20"/>
        </w:rPr>
      </w:pPr>
      <w:r w:rsidRPr="00C70AAA">
        <w:rPr>
          <w:rFonts w:cs="Arial"/>
          <w:sz w:val="22"/>
          <w:szCs w:val="22"/>
        </w:rPr>
        <w:t>The Mayor ta</w:t>
      </w:r>
      <w:r w:rsidR="00C70AAA">
        <w:rPr>
          <w:rFonts w:cs="Arial"/>
          <w:sz w:val="22"/>
          <w:szCs w:val="22"/>
        </w:rPr>
        <w:t>bled in Council the required</w:t>
      </w:r>
      <w:r w:rsidRPr="00C70AAA">
        <w:rPr>
          <w:rFonts w:cs="Arial"/>
          <w:sz w:val="22"/>
          <w:szCs w:val="22"/>
        </w:rPr>
        <w:t xml:space="preserve"> IDP and budget time schedule </w:t>
      </w:r>
      <w:r w:rsidR="00495256" w:rsidRPr="00C70AAA">
        <w:rPr>
          <w:rFonts w:cs="Arial"/>
          <w:sz w:val="22"/>
          <w:szCs w:val="22"/>
        </w:rPr>
        <w:t>i</w:t>
      </w:r>
      <w:r w:rsidRPr="00C70AAA">
        <w:rPr>
          <w:rFonts w:cs="Arial"/>
          <w:sz w:val="22"/>
          <w:szCs w:val="22"/>
        </w:rPr>
        <w:t xml:space="preserve">n </w:t>
      </w:r>
      <w:r w:rsidR="00495256" w:rsidRPr="00C70AAA">
        <w:rPr>
          <w:rFonts w:cs="Arial"/>
          <w:sz w:val="22"/>
          <w:szCs w:val="22"/>
        </w:rPr>
        <w:t xml:space="preserve">August </w:t>
      </w:r>
      <w:r w:rsidRPr="00C70AAA">
        <w:rPr>
          <w:rFonts w:cs="Arial"/>
          <w:sz w:val="22"/>
          <w:szCs w:val="22"/>
        </w:rPr>
        <w:t>201</w:t>
      </w:r>
      <w:r w:rsidR="00042F57">
        <w:rPr>
          <w:rFonts w:cs="Arial"/>
          <w:sz w:val="22"/>
          <w:szCs w:val="22"/>
        </w:rPr>
        <w:t>9</w:t>
      </w:r>
      <w:r w:rsidRPr="00C70AAA">
        <w:rPr>
          <w:rFonts w:cs="Arial"/>
          <w:sz w:val="22"/>
          <w:szCs w:val="22"/>
        </w:rPr>
        <w:t xml:space="preserve">. </w:t>
      </w:r>
      <w:r w:rsidR="00585AA7" w:rsidRPr="00C70AAA">
        <w:rPr>
          <w:rFonts w:cs="Arial"/>
          <w:sz w:val="22"/>
          <w:szCs w:val="22"/>
        </w:rPr>
        <w:t xml:space="preserve">In accordance with the original </w:t>
      </w:r>
      <w:r w:rsidR="00883835" w:rsidRPr="00C70AAA">
        <w:rPr>
          <w:rFonts w:cs="Arial"/>
          <w:sz w:val="22"/>
          <w:szCs w:val="22"/>
        </w:rPr>
        <w:t xml:space="preserve">budget </w:t>
      </w:r>
      <w:r w:rsidR="00585AA7" w:rsidRPr="00C70AAA">
        <w:rPr>
          <w:rFonts w:cs="Arial"/>
          <w:sz w:val="22"/>
          <w:szCs w:val="22"/>
        </w:rPr>
        <w:t>time schedule th</w:t>
      </w:r>
      <w:r w:rsidR="00495256" w:rsidRPr="00C70AAA">
        <w:rPr>
          <w:rFonts w:cs="Arial"/>
          <w:sz w:val="22"/>
          <w:szCs w:val="22"/>
        </w:rPr>
        <w:t xml:space="preserve">e </w:t>
      </w:r>
      <w:r w:rsidR="003B7BEF" w:rsidRPr="00C70AAA">
        <w:rPr>
          <w:rFonts w:cs="Arial"/>
          <w:sz w:val="22"/>
          <w:szCs w:val="22"/>
        </w:rPr>
        <w:t xml:space="preserve">Draft </w:t>
      </w:r>
      <w:r w:rsidR="00A63D5E">
        <w:rPr>
          <w:rFonts w:cs="Arial"/>
          <w:sz w:val="22"/>
          <w:szCs w:val="22"/>
        </w:rPr>
        <w:t>IDP and Draft</w:t>
      </w:r>
      <w:r w:rsidR="00495256" w:rsidRPr="00C70AAA">
        <w:rPr>
          <w:rFonts w:cs="Arial"/>
          <w:sz w:val="22"/>
          <w:szCs w:val="22"/>
        </w:rPr>
        <w:t xml:space="preserve"> budget for </w:t>
      </w:r>
      <w:r w:rsidR="00042F57">
        <w:rPr>
          <w:rFonts w:cs="Arial"/>
          <w:sz w:val="22"/>
          <w:szCs w:val="22"/>
        </w:rPr>
        <w:t>2020/21</w:t>
      </w:r>
      <w:r w:rsidR="00A63D5E">
        <w:rPr>
          <w:rFonts w:cs="Arial"/>
          <w:sz w:val="22"/>
          <w:szCs w:val="22"/>
        </w:rPr>
        <w:t xml:space="preserve"> financial year was</w:t>
      </w:r>
      <w:r w:rsidR="00585AA7" w:rsidRPr="00C70AAA">
        <w:rPr>
          <w:rFonts w:cs="Arial"/>
          <w:sz w:val="22"/>
          <w:szCs w:val="22"/>
        </w:rPr>
        <w:t xml:space="preserve"> a</w:t>
      </w:r>
      <w:r w:rsidR="00042F57">
        <w:rPr>
          <w:rFonts w:cs="Arial"/>
          <w:sz w:val="22"/>
          <w:szCs w:val="22"/>
        </w:rPr>
        <w:t>dopted by Council on 26</w:t>
      </w:r>
      <w:r w:rsidR="003B7BEF" w:rsidRPr="00C70AAA">
        <w:rPr>
          <w:rFonts w:cs="Arial"/>
          <w:sz w:val="22"/>
          <w:szCs w:val="22"/>
        </w:rPr>
        <w:t xml:space="preserve"> March</w:t>
      </w:r>
      <w:r w:rsidR="00042F57">
        <w:rPr>
          <w:rFonts w:cs="Arial"/>
          <w:sz w:val="22"/>
          <w:szCs w:val="22"/>
        </w:rPr>
        <w:t xml:space="preserve"> 2020</w:t>
      </w:r>
      <w:r w:rsidR="00585AA7" w:rsidRPr="00C70AAA">
        <w:rPr>
          <w:rFonts w:cs="Arial"/>
          <w:sz w:val="22"/>
          <w:szCs w:val="22"/>
        </w:rPr>
        <w:t>.</w:t>
      </w:r>
      <w:r w:rsidR="0052622D">
        <w:rPr>
          <w:rFonts w:cs="Arial"/>
          <w:sz w:val="22"/>
          <w:szCs w:val="22"/>
        </w:rPr>
        <w:t xml:space="preserve"> </w:t>
      </w:r>
      <w:r w:rsidR="00C70AAA" w:rsidRPr="00C70AAA">
        <w:rPr>
          <w:rFonts w:cs="Arial"/>
          <w:sz w:val="22"/>
          <w:szCs w:val="22"/>
        </w:rPr>
        <w:t xml:space="preserve">In accordance with the original budget time schedule the </w:t>
      </w:r>
      <w:r w:rsidR="00C70AAA">
        <w:rPr>
          <w:rFonts w:cs="Arial"/>
          <w:sz w:val="22"/>
          <w:szCs w:val="22"/>
        </w:rPr>
        <w:t>Final</w:t>
      </w:r>
      <w:r w:rsidR="00C70AAA" w:rsidRPr="00C70AAA">
        <w:rPr>
          <w:rFonts w:cs="Arial"/>
          <w:sz w:val="22"/>
          <w:szCs w:val="22"/>
        </w:rPr>
        <w:t xml:space="preserve"> I</w:t>
      </w:r>
      <w:r w:rsidR="00042F57">
        <w:rPr>
          <w:rFonts w:cs="Arial"/>
          <w:sz w:val="22"/>
          <w:szCs w:val="22"/>
        </w:rPr>
        <w:t>DP and annual budget for 2020/21</w:t>
      </w:r>
      <w:r w:rsidR="00A63D5E">
        <w:rPr>
          <w:rFonts w:cs="Arial"/>
          <w:sz w:val="22"/>
          <w:szCs w:val="22"/>
        </w:rPr>
        <w:t xml:space="preserve"> is scheduled to</w:t>
      </w:r>
      <w:r w:rsidR="00C70AAA" w:rsidRPr="00C70AAA">
        <w:rPr>
          <w:rFonts w:cs="Arial"/>
          <w:sz w:val="22"/>
          <w:szCs w:val="22"/>
        </w:rPr>
        <w:t xml:space="preserve"> be a</w:t>
      </w:r>
      <w:r w:rsidR="00042F57">
        <w:rPr>
          <w:rFonts w:cs="Arial"/>
          <w:sz w:val="22"/>
          <w:szCs w:val="22"/>
        </w:rPr>
        <w:t>dopted by Council on 28</w:t>
      </w:r>
      <w:r w:rsidR="00C70AAA">
        <w:rPr>
          <w:rFonts w:cs="Arial"/>
          <w:sz w:val="22"/>
          <w:szCs w:val="22"/>
        </w:rPr>
        <w:t xml:space="preserve"> May</w:t>
      </w:r>
      <w:r w:rsidR="00042F57">
        <w:rPr>
          <w:rFonts w:cs="Arial"/>
          <w:sz w:val="22"/>
          <w:szCs w:val="22"/>
        </w:rPr>
        <w:t xml:space="preserve"> 2020</w:t>
      </w:r>
      <w:r w:rsidR="00C70AAA" w:rsidRPr="00C70AAA">
        <w:rPr>
          <w:rFonts w:cs="Arial"/>
          <w:sz w:val="22"/>
          <w:szCs w:val="22"/>
        </w:rPr>
        <w:t>.</w:t>
      </w:r>
    </w:p>
    <w:p w:rsidR="00585AA7" w:rsidRPr="00C70AAA" w:rsidRDefault="00585AA7" w:rsidP="006B215D">
      <w:pPr>
        <w:spacing w:line="276" w:lineRule="auto"/>
        <w:jc w:val="both"/>
        <w:rPr>
          <w:rFonts w:cs="Arial"/>
          <w:sz w:val="22"/>
          <w:szCs w:val="22"/>
        </w:rPr>
      </w:pPr>
    </w:p>
    <w:p w:rsidR="005A697F" w:rsidRPr="00C70AAA" w:rsidRDefault="005A697F" w:rsidP="000836A3">
      <w:pPr>
        <w:pStyle w:val="Heading3"/>
        <w:keepLines/>
        <w:numPr>
          <w:ilvl w:val="2"/>
          <w:numId w:val="9"/>
        </w:numPr>
        <w:spacing w:before="200" w:after="0" w:line="276" w:lineRule="auto"/>
        <w:rPr>
          <w:rFonts w:ascii="Arial" w:hAnsi="Arial" w:cs="Arial"/>
          <w:sz w:val="22"/>
          <w:szCs w:val="22"/>
        </w:rPr>
      </w:pPr>
      <w:bookmarkStart w:id="105" w:name="_Toc286034105"/>
      <w:bookmarkStart w:id="106" w:name="_Toc286034696"/>
      <w:bookmarkStart w:id="107" w:name="_Toc287797052"/>
      <w:r w:rsidRPr="00C70AAA">
        <w:rPr>
          <w:rFonts w:ascii="Arial" w:hAnsi="Arial" w:cs="Arial"/>
          <w:sz w:val="22"/>
          <w:szCs w:val="22"/>
        </w:rPr>
        <w:t xml:space="preserve">Financial </w:t>
      </w:r>
      <w:r w:rsidR="005421E7" w:rsidRPr="00C70AAA">
        <w:rPr>
          <w:rFonts w:ascii="Arial" w:hAnsi="Arial" w:cs="Arial"/>
          <w:sz w:val="22"/>
          <w:szCs w:val="22"/>
        </w:rPr>
        <w:t>Modeling</w:t>
      </w:r>
      <w:r w:rsidRPr="00C70AAA">
        <w:rPr>
          <w:rFonts w:ascii="Arial" w:hAnsi="Arial" w:cs="Arial"/>
          <w:sz w:val="22"/>
          <w:szCs w:val="22"/>
        </w:rPr>
        <w:t xml:space="preserve"> and Key Planning Drivers</w:t>
      </w:r>
      <w:bookmarkEnd w:id="105"/>
      <w:bookmarkEnd w:id="106"/>
      <w:bookmarkEnd w:id="107"/>
    </w:p>
    <w:p w:rsidR="005A697F" w:rsidRPr="00C70AAA" w:rsidRDefault="005A697F" w:rsidP="006B215D">
      <w:pPr>
        <w:keepNext/>
        <w:spacing w:line="276" w:lineRule="auto"/>
        <w:jc w:val="both"/>
        <w:rPr>
          <w:rFonts w:cs="Arial"/>
          <w:sz w:val="22"/>
          <w:szCs w:val="22"/>
          <w:lang w:val="en-GB"/>
        </w:rPr>
      </w:pPr>
    </w:p>
    <w:p w:rsidR="005A697F" w:rsidRPr="00C70AAA" w:rsidRDefault="005A697F" w:rsidP="006B215D">
      <w:pPr>
        <w:spacing w:line="276" w:lineRule="auto"/>
        <w:jc w:val="both"/>
        <w:rPr>
          <w:rFonts w:cs="Arial"/>
          <w:sz w:val="22"/>
          <w:szCs w:val="22"/>
          <w:lang w:val="en-GB"/>
        </w:rPr>
      </w:pPr>
      <w:r w:rsidRPr="00C70AAA">
        <w:rPr>
          <w:rFonts w:cs="Arial"/>
          <w:sz w:val="22"/>
          <w:szCs w:val="22"/>
          <w:lang w:val="en-GB"/>
        </w:rPr>
        <w:t>As part of the</w:t>
      </w:r>
      <w:r w:rsidR="00495256" w:rsidRPr="00C70AAA">
        <w:rPr>
          <w:rFonts w:cs="Arial"/>
          <w:sz w:val="22"/>
          <w:szCs w:val="22"/>
          <w:lang w:val="en-GB"/>
        </w:rPr>
        <w:t xml:space="preserve"> compilation of the </w:t>
      </w:r>
      <w:r w:rsidR="00042F57">
        <w:rPr>
          <w:rFonts w:cs="Arial"/>
          <w:sz w:val="22"/>
          <w:szCs w:val="22"/>
          <w:lang w:val="en-GB"/>
        </w:rPr>
        <w:t>2020/21</w:t>
      </w:r>
      <w:r w:rsidR="0052622D">
        <w:rPr>
          <w:rFonts w:cs="Arial"/>
          <w:sz w:val="22"/>
          <w:szCs w:val="22"/>
          <w:lang w:val="en-GB"/>
        </w:rPr>
        <w:t xml:space="preserve"> </w:t>
      </w:r>
      <w:r w:rsidRPr="00C70AAA">
        <w:rPr>
          <w:rFonts w:cs="Arial"/>
          <w:sz w:val="22"/>
          <w:szCs w:val="22"/>
          <w:lang w:val="en-GB"/>
        </w:rPr>
        <w:t>MTREF, financial modelling to ensure affordability and long-term financial sustainability</w:t>
      </w:r>
      <w:r w:rsidR="00F30654" w:rsidRPr="00C70AAA">
        <w:rPr>
          <w:rFonts w:cs="Arial"/>
          <w:sz w:val="22"/>
          <w:szCs w:val="22"/>
          <w:lang w:val="en-GB"/>
        </w:rPr>
        <w:t>, was undertaken</w:t>
      </w:r>
      <w:r w:rsidRPr="00C70AAA">
        <w:rPr>
          <w:rFonts w:cs="Arial"/>
          <w:sz w:val="22"/>
          <w:szCs w:val="22"/>
          <w:lang w:val="en-GB"/>
        </w:rPr>
        <w:t>. The following key factors and planning strategies have info</w:t>
      </w:r>
      <w:r w:rsidR="007B0383" w:rsidRPr="00C70AAA">
        <w:rPr>
          <w:rFonts w:cs="Arial"/>
          <w:sz w:val="22"/>
          <w:szCs w:val="22"/>
          <w:lang w:val="en-GB"/>
        </w:rPr>
        <w:t xml:space="preserve">rmed the compilation of the </w:t>
      </w:r>
      <w:r w:rsidR="007B0C11" w:rsidRPr="00C70AAA">
        <w:rPr>
          <w:rFonts w:cs="Arial"/>
          <w:sz w:val="22"/>
          <w:szCs w:val="22"/>
          <w:lang w:val="en-GB"/>
        </w:rPr>
        <w:t>20</w:t>
      </w:r>
      <w:r w:rsidR="00042F57">
        <w:rPr>
          <w:rFonts w:cs="Arial"/>
          <w:sz w:val="22"/>
          <w:szCs w:val="22"/>
          <w:lang w:val="en-GB"/>
        </w:rPr>
        <w:t>20/21</w:t>
      </w:r>
      <w:r w:rsidR="0052622D">
        <w:rPr>
          <w:rFonts w:cs="Arial"/>
          <w:sz w:val="22"/>
          <w:szCs w:val="22"/>
          <w:lang w:val="en-GB"/>
        </w:rPr>
        <w:t xml:space="preserve"> </w:t>
      </w:r>
      <w:r w:rsidRPr="00C70AAA">
        <w:rPr>
          <w:rFonts w:cs="Arial"/>
          <w:sz w:val="22"/>
          <w:szCs w:val="22"/>
          <w:lang w:val="en-GB"/>
        </w:rPr>
        <w:t>MTREF:</w:t>
      </w:r>
    </w:p>
    <w:p w:rsidR="005A697F" w:rsidRPr="00C70AAA" w:rsidRDefault="005A697F" w:rsidP="006B215D">
      <w:pPr>
        <w:spacing w:line="276" w:lineRule="auto"/>
        <w:jc w:val="both"/>
        <w:rPr>
          <w:rFonts w:cs="Arial"/>
          <w:sz w:val="22"/>
          <w:szCs w:val="22"/>
          <w:lang w:val="en-GB"/>
        </w:rPr>
      </w:pPr>
    </w:p>
    <w:p w:rsidR="005A697F" w:rsidRPr="00C70AAA" w:rsidRDefault="00A52B13"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Municipality</w:t>
      </w:r>
      <w:r w:rsidR="005A697F" w:rsidRPr="00C70AAA">
        <w:rPr>
          <w:rFonts w:cs="Arial"/>
          <w:sz w:val="22"/>
          <w:szCs w:val="22"/>
        </w:rPr>
        <w:t xml:space="preserve"> growth</w:t>
      </w:r>
      <w:r w:rsidR="00724A9F" w:rsidRPr="00C70AAA">
        <w:rPr>
          <w:rFonts w:cs="Arial"/>
          <w:sz w:val="22"/>
          <w:szCs w:val="22"/>
        </w:rPr>
        <w:t>.</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Policy priorities and strategic objectives</w:t>
      </w:r>
      <w:r w:rsidR="00724A9F" w:rsidRPr="00C70AAA">
        <w:rPr>
          <w:rFonts w:cs="Arial"/>
          <w:sz w:val="22"/>
          <w:szCs w:val="22"/>
        </w:rPr>
        <w:t>.</w:t>
      </w:r>
    </w:p>
    <w:p w:rsidR="005A697F" w:rsidRPr="00C70AAA" w:rsidRDefault="00724A9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Asset maintenance.</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 xml:space="preserve">Economic climate and trends (i.e inflation, </w:t>
      </w:r>
      <w:r w:rsidR="00495256" w:rsidRPr="00C70AAA">
        <w:rPr>
          <w:rFonts w:cs="Arial"/>
          <w:sz w:val="22"/>
          <w:szCs w:val="22"/>
        </w:rPr>
        <w:t xml:space="preserve">tariff </w:t>
      </w:r>
      <w:r w:rsidRPr="00C70AAA">
        <w:rPr>
          <w:rFonts w:cs="Arial"/>
          <w:sz w:val="22"/>
          <w:szCs w:val="22"/>
        </w:rPr>
        <w:t>increases, household debt)</w:t>
      </w:r>
      <w:r w:rsidR="00724A9F" w:rsidRPr="00C70AAA">
        <w:rPr>
          <w:rFonts w:cs="Arial"/>
          <w:sz w:val="22"/>
          <w:szCs w:val="22"/>
        </w:rPr>
        <w:t>.</w:t>
      </w:r>
    </w:p>
    <w:p w:rsidR="005A697F" w:rsidRPr="00C70AAA" w:rsidRDefault="0052622D"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Pr>
          <w:rFonts w:cs="Arial"/>
          <w:sz w:val="22"/>
          <w:szCs w:val="22"/>
        </w:rPr>
        <w:t>The approved 2018</w:t>
      </w:r>
      <w:r w:rsidR="005A697F" w:rsidRPr="00C70AAA">
        <w:rPr>
          <w:rFonts w:cs="Arial"/>
          <w:sz w:val="22"/>
          <w:szCs w:val="22"/>
        </w:rPr>
        <w:t>/1</w:t>
      </w:r>
      <w:r>
        <w:rPr>
          <w:rFonts w:cs="Arial"/>
          <w:sz w:val="22"/>
          <w:szCs w:val="22"/>
        </w:rPr>
        <w:t>9</w:t>
      </w:r>
      <w:r w:rsidR="005A697F" w:rsidRPr="00C70AAA">
        <w:rPr>
          <w:rFonts w:cs="Arial"/>
          <w:sz w:val="22"/>
          <w:szCs w:val="22"/>
        </w:rPr>
        <w:t xml:space="preserve"> adjustments budget and performance against the SDBIP</w:t>
      </w:r>
      <w:r w:rsidR="00724A9F" w:rsidRPr="00C70AAA">
        <w:rPr>
          <w:rFonts w:cs="Arial"/>
          <w:sz w:val="22"/>
          <w:szCs w:val="22"/>
        </w:rPr>
        <w:t>.</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lastRenderedPageBreak/>
        <w:t>Cash Flow Management Strategy</w:t>
      </w:r>
      <w:r w:rsidR="00724A9F" w:rsidRPr="00C70AAA">
        <w:rPr>
          <w:rFonts w:cs="Arial"/>
          <w:sz w:val="22"/>
          <w:szCs w:val="22"/>
        </w:rPr>
        <w:t>.</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Debtor payment levels</w:t>
      </w:r>
      <w:r w:rsidR="00724A9F" w:rsidRPr="00C70AAA">
        <w:rPr>
          <w:rFonts w:cs="Arial"/>
          <w:sz w:val="22"/>
          <w:szCs w:val="22"/>
        </w:rPr>
        <w:t>.</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Loan and investment possibilities</w:t>
      </w:r>
      <w:r w:rsidR="00724A9F" w:rsidRPr="00C70AAA">
        <w:rPr>
          <w:rFonts w:cs="Arial"/>
          <w:sz w:val="22"/>
          <w:szCs w:val="22"/>
        </w:rPr>
        <w:t>.</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The need for tariff increases versus the ability of th</w:t>
      </w:r>
      <w:r w:rsidR="00724A9F" w:rsidRPr="00C70AAA">
        <w:rPr>
          <w:rFonts w:cs="Arial"/>
          <w:sz w:val="22"/>
          <w:szCs w:val="22"/>
        </w:rPr>
        <w:t>e community to pay for services.</w:t>
      </w:r>
    </w:p>
    <w:p w:rsidR="005A697F" w:rsidRPr="00C70AA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C70AAA">
        <w:rPr>
          <w:rFonts w:cs="Arial"/>
          <w:sz w:val="22"/>
          <w:szCs w:val="22"/>
        </w:rPr>
        <w:t>Improved and sustainable service delivery</w:t>
      </w:r>
      <w:r w:rsidR="00724A9F" w:rsidRPr="00C70AAA">
        <w:rPr>
          <w:rFonts w:cs="Arial"/>
          <w:sz w:val="22"/>
          <w:szCs w:val="22"/>
        </w:rPr>
        <w:t>.</w:t>
      </w:r>
    </w:p>
    <w:p w:rsidR="005A697F" w:rsidRPr="00C70AAA" w:rsidRDefault="005A697F" w:rsidP="006B215D">
      <w:pPr>
        <w:spacing w:line="276" w:lineRule="auto"/>
        <w:jc w:val="both"/>
        <w:rPr>
          <w:rFonts w:cs="Arial"/>
          <w:sz w:val="22"/>
          <w:szCs w:val="22"/>
        </w:rPr>
      </w:pPr>
    </w:p>
    <w:p w:rsidR="005A697F" w:rsidRPr="00C70AAA" w:rsidRDefault="005A697F" w:rsidP="006B215D">
      <w:pPr>
        <w:spacing w:line="276" w:lineRule="auto"/>
        <w:jc w:val="both"/>
        <w:rPr>
          <w:rFonts w:cs="Arial"/>
          <w:sz w:val="22"/>
          <w:szCs w:val="22"/>
          <w:lang w:val="en-GB"/>
        </w:rPr>
      </w:pPr>
      <w:r w:rsidRPr="00C70AAA">
        <w:rPr>
          <w:rFonts w:cs="Arial"/>
          <w:sz w:val="22"/>
          <w:szCs w:val="22"/>
          <w:lang w:val="en-GB"/>
        </w:rPr>
        <w:t xml:space="preserve">In addition to the above, the strategic guidance given in National Treasury’s MFMA Circular </w:t>
      </w:r>
      <w:r w:rsidR="00F30654" w:rsidRPr="00C70AAA">
        <w:rPr>
          <w:rFonts w:cs="Arial"/>
          <w:sz w:val="22"/>
          <w:szCs w:val="22"/>
          <w:lang w:val="en-GB"/>
        </w:rPr>
        <w:t>66</w:t>
      </w:r>
      <w:r w:rsidRPr="00C70AAA">
        <w:rPr>
          <w:rFonts w:cs="Arial"/>
          <w:sz w:val="22"/>
          <w:szCs w:val="22"/>
          <w:lang w:val="en-GB"/>
        </w:rPr>
        <w:t>has been taken into consideration in the planning and prioritisation process.</w:t>
      </w:r>
    </w:p>
    <w:p w:rsidR="005A697F" w:rsidRPr="00C70AAA" w:rsidRDefault="005A697F" w:rsidP="000836A3">
      <w:pPr>
        <w:pStyle w:val="Heading3"/>
        <w:keepLines/>
        <w:numPr>
          <w:ilvl w:val="2"/>
          <w:numId w:val="9"/>
        </w:numPr>
        <w:spacing w:before="200" w:after="0" w:line="276" w:lineRule="auto"/>
        <w:rPr>
          <w:rFonts w:ascii="Arial" w:hAnsi="Arial" w:cs="Arial"/>
          <w:sz w:val="22"/>
          <w:szCs w:val="22"/>
          <w:lang w:val="en-GB"/>
        </w:rPr>
      </w:pPr>
      <w:bookmarkStart w:id="108" w:name="_Toc286034106"/>
      <w:bookmarkStart w:id="109" w:name="_Toc286034697"/>
      <w:bookmarkStart w:id="110" w:name="_Toc287797053"/>
      <w:r w:rsidRPr="00C70AAA">
        <w:rPr>
          <w:rFonts w:ascii="Arial" w:hAnsi="Arial" w:cs="Arial"/>
          <w:sz w:val="22"/>
          <w:szCs w:val="22"/>
        </w:rPr>
        <w:t>Community Consultation</w:t>
      </w:r>
      <w:bookmarkEnd w:id="108"/>
      <w:bookmarkEnd w:id="109"/>
      <w:bookmarkEnd w:id="110"/>
    </w:p>
    <w:p w:rsidR="005A697F" w:rsidRPr="00C70AAA" w:rsidRDefault="005A697F" w:rsidP="006B215D">
      <w:pPr>
        <w:spacing w:line="276" w:lineRule="auto"/>
        <w:jc w:val="both"/>
        <w:rPr>
          <w:rFonts w:cs="Arial"/>
          <w:sz w:val="22"/>
          <w:szCs w:val="22"/>
          <w:lang w:val="en-GB"/>
        </w:rPr>
      </w:pPr>
    </w:p>
    <w:p w:rsidR="002E75ED" w:rsidRPr="00C70AAA" w:rsidRDefault="007B0383" w:rsidP="006B215D">
      <w:pPr>
        <w:spacing w:line="276" w:lineRule="auto"/>
        <w:jc w:val="both"/>
        <w:rPr>
          <w:rFonts w:cs="Arial"/>
          <w:sz w:val="22"/>
          <w:szCs w:val="22"/>
          <w:lang w:val="en-GB"/>
        </w:rPr>
      </w:pPr>
      <w:r w:rsidRPr="00C70AAA">
        <w:rPr>
          <w:rFonts w:cs="Arial"/>
          <w:sz w:val="22"/>
          <w:szCs w:val="22"/>
          <w:lang w:val="en-GB"/>
        </w:rPr>
        <w:t xml:space="preserve">The draft </w:t>
      </w:r>
      <w:r w:rsidR="00DE0CF8">
        <w:rPr>
          <w:rFonts w:cs="Arial"/>
          <w:sz w:val="22"/>
          <w:szCs w:val="22"/>
          <w:lang w:val="en-GB"/>
        </w:rPr>
        <w:t>2020/21</w:t>
      </w:r>
      <w:r w:rsidR="0052622D">
        <w:rPr>
          <w:rFonts w:cs="Arial"/>
          <w:sz w:val="22"/>
          <w:szCs w:val="22"/>
          <w:lang w:val="en-GB"/>
        </w:rPr>
        <w:t xml:space="preserve"> </w:t>
      </w:r>
      <w:r w:rsidR="005A697F" w:rsidRPr="00C70AAA">
        <w:rPr>
          <w:rFonts w:cs="Arial"/>
          <w:sz w:val="22"/>
          <w:szCs w:val="22"/>
          <w:lang w:val="en-GB"/>
        </w:rPr>
        <w:t xml:space="preserve">MTREF </w:t>
      </w:r>
      <w:r w:rsidR="003B7BEF" w:rsidRPr="00C70AAA">
        <w:rPr>
          <w:rFonts w:cs="Arial"/>
          <w:sz w:val="22"/>
          <w:szCs w:val="22"/>
          <w:lang w:val="en-GB"/>
        </w:rPr>
        <w:t>will be</w:t>
      </w:r>
      <w:r w:rsidR="0052622D">
        <w:rPr>
          <w:rFonts w:cs="Arial"/>
          <w:sz w:val="22"/>
          <w:szCs w:val="22"/>
          <w:lang w:val="en-GB"/>
        </w:rPr>
        <w:t xml:space="preserve"> </w:t>
      </w:r>
      <w:r w:rsidR="005A697F" w:rsidRPr="00C70AAA">
        <w:rPr>
          <w:rFonts w:cs="Arial"/>
          <w:sz w:val="22"/>
          <w:szCs w:val="22"/>
          <w:lang w:val="en-GB"/>
        </w:rPr>
        <w:t>tabled before Council for community consultation</w:t>
      </w:r>
      <w:r w:rsidR="002E75ED" w:rsidRPr="00C70AAA">
        <w:rPr>
          <w:rFonts w:cs="Arial"/>
          <w:sz w:val="22"/>
          <w:szCs w:val="22"/>
          <w:lang w:val="en-GB"/>
        </w:rPr>
        <w:t xml:space="preserve">. Thereafter it </w:t>
      </w:r>
      <w:r w:rsidR="003B7BEF" w:rsidRPr="00C70AAA">
        <w:rPr>
          <w:rFonts w:cs="Arial"/>
          <w:sz w:val="22"/>
          <w:szCs w:val="22"/>
          <w:lang w:val="en-GB"/>
        </w:rPr>
        <w:t>will be</w:t>
      </w:r>
      <w:r w:rsidR="0052622D">
        <w:rPr>
          <w:rFonts w:cs="Arial"/>
          <w:sz w:val="22"/>
          <w:szCs w:val="22"/>
          <w:lang w:val="en-GB"/>
        </w:rPr>
        <w:t xml:space="preserve"> </w:t>
      </w:r>
      <w:r w:rsidR="005A697F" w:rsidRPr="00C70AAA">
        <w:rPr>
          <w:rFonts w:cs="Arial"/>
          <w:sz w:val="22"/>
          <w:szCs w:val="22"/>
          <w:lang w:val="en-GB"/>
        </w:rPr>
        <w:t>published on the municipality’s website, and hard copies</w:t>
      </w:r>
      <w:r w:rsidRPr="00C70AAA">
        <w:rPr>
          <w:rFonts w:cs="Arial"/>
          <w:sz w:val="22"/>
          <w:szCs w:val="22"/>
          <w:lang w:val="en-GB"/>
        </w:rPr>
        <w:t xml:space="preserve"> made available at</w:t>
      </w:r>
      <w:r w:rsidR="005A697F" w:rsidRPr="00C70AAA">
        <w:rPr>
          <w:rFonts w:cs="Arial"/>
          <w:sz w:val="22"/>
          <w:szCs w:val="22"/>
          <w:lang w:val="en-GB"/>
        </w:rPr>
        <w:t xml:space="preserve">, municipal notice boards and various </w:t>
      </w:r>
      <w:r w:rsidR="00563AD0" w:rsidRPr="00C70AAA">
        <w:rPr>
          <w:rFonts w:cs="Arial"/>
          <w:sz w:val="22"/>
          <w:szCs w:val="22"/>
          <w:lang w:val="en-GB"/>
        </w:rPr>
        <w:t>municipal offices</w:t>
      </w:r>
      <w:r w:rsidR="005A697F" w:rsidRPr="00C70AAA">
        <w:rPr>
          <w:rFonts w:cs="Arial"/>
          <w:sz w:val="22"/>
          <w:szCs w:val="22"/>
          <w:lang w:val="en-GB"/>
        </w:rPr>
        <w:t>.</w:t>
      </w:r>
    </w:p>
    <w:p w:rsidR="000C6760" w:rsidRPr="00C70AAA" w:rsidRDefault="000C6760" w:rsidP="002E75ED">
      <w:pPr>
        <w:spacing w:line="276" w:lineRule="auto"/>
        <w:jc w:val="both"/>
        <w:rPr>
          <w:rFonts w:cs="Arial"/>
          <w:sz w:val="22"/>
          <w:szCs w:val="22"/>
          <w:lang w:val="en-GB"/>
        </w:rPr>
      </w:pPr>
    </w:p>
    <w:p w:rsidR="005A697F" w:rsidRPr="00C70AAA" w:rsidRDefault="005A697F" w:rsidP="002E75ED">
      <w:pPr>
        <w:spacing w:line="276" w:lineRule="auto"/>
        <w:jc w:val="both"/>
        <w:rPr>
          <w:rFonts w:cs="Arial"/>
          <w:sz w:val="22"/>
          <w:szCs w:val="22"/>
          <w:lang w:val="en-GB"/>
        </w:rPr>
      </w:pPr>
      <w:r w:rsidRPr="00C70AAA">
        <w:rPr>
          <w:rFonts w:cs="Arial"/>
          <w:sz w:val="22"/>
          <w:szCs w:val="22"/>
          <w:lang w:val="en-GB"/>
        </w:rPr>
        <w:t xml:space="preserve">All documents in the appropriate format (electronic and printed) </w:t>
      </w:r>
      <w:r w:rsidR="003B7BEF" w:rsidRPr="00C70AAA">
        <w:rPr>
          <w:rFonts w:cs="Arial"/>
          <w:sz w:val="22"/>
          <w:szCs w:val="22"/>
          <w:lang w:val="en-GB"/>
        </w:rPr>
        <w:t>will be</w:t>
      </w:r>
      <w:r w:rsidRPr="00C70AAA">
        <w:rPr>
          <w:rFonts w:cs="Arial"/>
          <w:sz w:val="22"/>
          <w:szCs w:val="22"/>
          <w:lang w:val="en-GB"/>
        </w:rPr>
        <w:t xml:space="preserve"> provided to National Treasury, and other national and provincial departments in accordance with section 23 of the MFMA, to provide an opportunity for them to make inputs</w:t>
      </w:r>
      <w:r w:rsidR="00A54D64">
        <w:rPr>
          <w:rFonts w:cs="Arial"/>
          <w:sz w:val="22"/>
          <w:szCs w:val="22"/>
          <w:lang w:val="en-GB"/>
        </w:rPr>
        <w:t>.</w:t>
      </w:r>
    </w:p>
    <w:p w:rsidR="005A697F" w:rsidRPr="00C70AAA" w:rsidRDefault="005A697F" w:rsidP="006B215D">
      <w:pPr>
        <w:autoSpaceDE w:val="0"/>
        <w:autoSpaceDN w:val="0"/>
        <w:adjustRightInd w:val="0"/>
        <w:spacing w:line="276" w:lineRule="auto"/>
        <w:jc w:val="both"/>
        <w:rPr>
          <w:rFonts w:cs="Arial"/>
          <w:sz w:val="22"/>
          <w:szCs w:val="22"/>
          <w:lang w:val="en-GB"/>
        </w:rPr>
      </w:pPr>
    </w:p>
    <w:p w:rsidR="005A697F" w:rsidRPr="00C70AAA" w:rsidRDefault="005A697F" w:rsidP="006B215D">
      <w:pPr>
        <w:autoSpaceDE w:val="0"/>
        <w:autoSpaceDN w:val="0"/>
        <w:adjustRightInd w:val="0"/>
        <w:spacing w:line="276" w:lineRule="auto"/>
        <w:jc w:val="both"/>
        <w:rPr>
          <w:rFonts w:cs="Arial"/>
          <w:sz w:val="22"/>
          <w:szCs w:val="22"/>
          <w:lang w:val="en-GB"/>
        </w:rPr>
      </w:pPr>
      <w:r w:rsidRPr="00C70AAA">
        <w:rPr>
          <w:rFonts w:cs="Arial"/>
          <w:sz w:val="22"/>
          <w:szCs w:val="22"/>
          <w:lang w:val="en-GB"/>
        </w:rPr>
        <w:t xml:space="preserve">Submissions received during the community consultation process and additional information regarding revenue and expenditure and individual capital projects </w:t>
      </w:r>
      <w:r w:rsidR="003B7BEF" w:rsidRPr="00C70AAA">
        <w:rPr>
          <w:rFonts w:cs="Arial"/>
          <w:sz w:val="22"/>
          <w:szCs w:val="22"/>
          <w:lang w:val="en-GB"/>
        </w:rPr>
        <w:t>will be</w:t>
      </w:r>
      <w:r w:rsidR="0052622D">
        <w:rPr>
          <w:rFonts w:cs="Arial"/>
          <w:sz w:val="22"/>
          <w:szCs w:val="22"/>
          <w:lang w:val="en-GB"/>
        </w:rPr>
        <w:t xml:space="preserve"> </w:t>
      </w:r>
      <w:r w:rsidRPr="00C70AAA">
        <w:rPr>
          <w:rFonts w:cs="Arial"/>
          <w:sz w:val="22"/>
          <w:szCs w:val="22"/>
          <w:lang w:val="en-GB"/>
        </w:rPr>
        <w:t xml:space="preserve">addressed, and where relevant considered as part </w:t>
      </w:r>
      <w:r w:rsidR="007B0383" w:rsidRPr="00C70AAA">
        <w:rPr>
          <w:rFonts w:cs="Arial"/>
          <w:sz w:val="22"/>
          <w:szCs w:val="22"/>
          <w:lang w:val="en-GB"/>
        </w:rPr>
        <w:t xml:space="preserve">of the finalisation of the </w:t>
      </w:r>
      <w:r w:rsidR="0052622D">
        <w:rPr>
          <w:rFonts w:cs="Arial"/>
          <w:sz w:val="22"/>
          <w:szCs w:val="22"/>
          <w:lang w:val="en-GB"/>
        </w:rPr>
        <w:t>2</w:t>
      </w:r>
      <w:r w:rsidR="00DE0CF8">
        <w:rPr>
          <w:rFonts w:cs="Arial"/>
          <w:sz w:val="22"/>
          <w:szCs w:val="22"/>
          <w:lang w:val="en-GB"/>
        </w:rPr>
        <w:t>020/21</w:t>
      </w:r>
      <w:r w:rsidR="0052622D">
        <w:rPr>
          <w:rFonts w:cs="Arial"/>
          <w:sz w:val="22"/>
          <w:szCs w:val="22"/>
          <w:lang w:val="en-GB"/>
        </w:rPr>
        <w:t xml:space="preserve"> </w:t>
      </w:r>
      <w:r w:rsidRPr="00C70AAA">
        <w:rPr>
          <w:rFonts w:cs="Arial"/>
          <w:sz w:val="22"/>
          <w:szCs w:val="22"/>
          <w:lang w:val="en-GB"/>
        </w:rPr>
        <w:t>MTREF</w:t>
      </w:r>
    </w:p>
    <w:p w:rsidR="005A697F" w:rsidRPr="006B215D" w:rsidRDefault="005A697F" w:rsidP="006B215D">
      <w:pPr>
        <w:autoSpaceDE w:val="0"/>
        <w:autoSpaceDN w:val="0"/>
        <w:adjustRightInd w:val="0"/>
        <w:spacing w:line="276" w:lineRule="auto"/>
        <w:jc w:val="both"/>
        <w:rPr>
          <w:rFonts w:cs="Arial"/>
          <w:sz w:val="20"/>
          <w:szCs w:val="20"/>
          <w:lang w:val="en-GB"/>
        </w:rPr>
      </w:pPr>
    </w:p>
    <w:p w:rsidR="005A697F" w:rsidRPr="000836A3" w:rsidRDefault="005A697F" w:rsidP="002D6413">
      <w:pPr>
        <w:pStyle w:val="Heading2"/>
        <w:numPr>
          <w:ilvl w:val="1"/>
          <w:numId w:val="9"/>
        </w:numPr>
        <w:tabs>
          <w:tab w:val="left" w:pos="567"/>
        </w:tabs>
        <w:ind w:left="567" w:hanging="567"/>
        <w:rPr>
          <w:color w:val="984806"/>
        </w:rPr>
      </w:pPr>
      <w:bookmarkStart w:id="111" w:name="_Toc286034107"/>
      <w:bookmarkStart w:id="112" w:name="_Toc286034698"/>
      <w:bookmarkStart w:id="113" w:name="_Toc286041440"/>
      <w:bookmarkStart w:id="114" w:name="_Toc286041509"/>
      <w:bookmarkStart w:id="115" w:name="_Toc286117320"/>
      <w:bookmarkStart w:id="116" w:name="_Toc287342531"/>
      <w:bookmarkStart w:id="117" w:name="_Toc287797054"/>
      <w:bookmarkStart w:id="118" w:name="_Toc356917073"/>
      <w:bookmarkStart w:id="119" w:name="_Toc3962570"/>
      <w:r w:rsidRPr="000836A3">
        <w:rPr>
          <w:color w:val="984806"/>
        </w:rPr>
        <w:t>Overview of alignment of annual budget with IDP</w:t>
      </w:r>
      <w:bookmarkEnd w:id="111"/>
      <w:bookmarkEnd w:id="112"/>
      <w:bookmarkEnd w:id="113"/>
      <w:bookmarkEnd w:id="114"/>
      <w:bookmarkEnd w:id="115"/>
      <w:bookmarkEnd w:id="116"/>
      <w:bookmarkEnd w:id="117"/>
      <w:bookmarkEnd w:id="118"/>
      <w:bookmarkEnd w:id="119"/>
    </w:p>
    <w:p w:rsidR="005A697F" w:rsidRPr="006B215D" w:rsidRDefault="005A697F" w:rsidP="006B215D">
      <w:pPr>
        <w:keepNext/>
        <w:spacing w:line="276" w:lineRule="auto"/>
        <w:rPr>
          <w:rFonts w:cs="Arial"/>
          <w:sz w:val="20"/>
          <w:szCs w:val="20"/>
        </w:rPr>
      </w:pPr>
    </w:p>
    <w:p w:rsidR="000C6760" w:rsidRPr="00667C6A" w:rsidRDefault="005A697F" w:rsidP="000B4626">
      <w:pPr>
        <w:spacing w:line="276" w:lineRule="auto"/>
        <w:jc w:val="both"/>
        <w:rPr>
          <w:rFonts w:cs="Arial"/>
          <w:sz w:val="22"/>
          <w:szCs w:val="22"/>
          <w:lang w:val="en-GB"/>
        </w:rPr>
      </w:pPr>
      <w:r w:rsidRPr="00667C6A">
        <w:rPr>
          <w:rFonts w:cs="Arial"/>
          <w:sz w:val="22"/>
          <w:szCs w:val="22"/>
          <w:lang w:val="en-GB"/>
        </w:rPr>
        <w:t>The Constitution mandates local government with the responsibility to exercise local developmental and cooperative governance. The eradication of imbalances in South African society can only be realized through a credible integrated developmental planning process.</w:t>
      </w:r>
    </w:p>
    <w:p w:rsidR="005A697F" w:rsidRPr="00667C6A" w:rsidRDefault="005A697F" w:rsidP="000B4626">
      <w:pPr>
        <w:spacing w:line="276" w:lineRule="auto"/>
        <w:jc w:val="both"/>
        <w:rPr>
          <w:rFonts w:cs="Arial"/>
          <w:sz w:val="22"/>
          <w:szCs w:val="22"/>
          <w:lang w:val="en-GB"/>
        </w:rPr>
      </w:pPr>
    </w:p>
    <w:p w:rsidR="005A697F" w:rsidRPr="00667C6A" w:rsidRDefault="005A697F" w:rsidP="006B215D">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Municipalities in South Africa need to utilise integrated development planning as a method to plan future development in their areas and so find the best solutions to achieve sound long-term development goals.  A municipal IDP provides a five year strategic programme of action aimed at setting short, medium and long term strategic and budget priorities to create a development platform, which correlates with the term of office of the political incumbents.  The plan aligns the resources and the </w:t>
      </w:r>
      <w:r w:rsidR="00794EFD" w:rsidRPr="00667C6A">
        <w:rPr>
          <w:rFonts w:cs="Arial"/>
          <w:sz w:val="22"/>
          <w:szCs w:val="22"/>
          <w:lang w:val="en-GB"/>
        </w:rPr>
        <w:t>capacity</w:t>
      </w:r>
      <w:r w:rsidRPr="00667C6A">
        <w:rPr>
          <w:rFonts w:cs="Arial"/>
          <w:sz w:val="22"/>
          <w:szCs w:val="22"/>
          <w:lang w:val="en-GB"/>
        </w:rPr>
        <w:t xml:space="preserve"> of a municipality to its overall development aims and guides the municipal budget.  An IDP is therefore a key instrument which municipalities use to provide vision, leadership and direction to all those that have a role to play in the development of a municipal area.  The IDP enables municipalities to make the best use of scarce resources and speed up service delivery.</w:t>
      </w:r>
    </w:p>
    <w:p w:rsidR="005A697F" w:rsidRPr="00667C6A" w:rsidRDefault="005A697F" w:rsidP="006B215D">
      <w:pPr>
        <w:autoSpaceDE w:val="0"/>
        <w:autoSpaceDN w:val="0"/>
        <w:adjustRightInd w:val="0"/>
        <w:spacing w:line="276" w:lineRule="auto"/>
        <w:jc w:val="both"/>
        <w:rPr>
          <w:rFonts w:cs="Arial"/>
          <w:sz w:val="22"/>
          <w:szCs w:val="22"/>
          <w:lang w:val="en-GB"/>
        </w:rPr>
      </w:pPr>
    </w:p>
    <w:p w:rsidR="005A697F" w:rsidRPr="00667C6A" w:rsidRDefault="005A697F" w:rsidP="006B215D">
      <w:pPr>
        <w:autoSpaceDE w:val="0"/>
        <w:autoSpaceDN w:val="0"/>
        <w:adjustRightInd w:val="0"/>
        <w:spacing w:line="276" w:lineRule="auto"/>
        <w:jc w:val="both"/>
        <w:rPr>
          <w:rFonts w:cs="Arial"/>
          <w:sz w:val="22"/>
          <w:szCs w:val="22"/>
          <w:lang w:val="en-GB"/>
        </w:rPr>
      </w:pPr>
      <w:r w:rsidRPr="00667C6A">
        <w:rPr>
          <w:rFonts w:cs="Arial"/>
          <w:sz w:val="22"/>
          <w:szCs w:val="22"/>
          <w:lang w:val="en-GB"/>
        </w:rPr>
        <w:t>Integrated developmental planning in the South African context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w:t>
      </w:r>
    </w:p>
    <w:p w:rsidR="005A697F" w:rsidRPr="00667C6A" w:rsidRDefault="005A697F" w:rsidP="006B215D">
      <w:pPr>
        <w:autoSpaceDE w:val="0"/>
        <w:autoSpaceDN w:val="0"/>
        <w:adjustRightInd w:val="0"/>
        <w:spacing w:line="276" w:lineRule="auto"/>
        <w:jc w:val="both"/>
        <w:rPr>
          <w:rFonts w:cs="Arial"/>
          <w:sz w:val="22"/>
          <w:szCs w:val="22"/>
          <w:lang w:val="en-GB"/>
        </w:rPr>
      </w:pPr>
    </w:p>
    <w:p w:rsidR="005A697F" w:rsidRPr="00667C6A" w:rsidRDefault="005A697F" w:rsidP="006B215D">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It is important that the IDP developed by municipalities correlate with National and Provincial intent. It must aim to co-ordinate the work of local and other spheres of government in a coherent plan to improve the quality of life for all the people living in that area. Applied to the </w:t>
      </w:r>
      <w:r w:rsidR="00A52B13" w:rsidRPr="00667C6A">
        <w:rPr>
          <w:rFonts w:cs="Arial"/>
          <w:sz w:val="22"/>
          <w:szCs w:val="22"/>
          <w:lang w:val="en-GB"/>
        </w:rPr>
        <w:t>Municipality</w:t>
      </w:r>
      <w:r w:rsidRPr="00667C6A">
        <w:rPr>
          <w:rFonts w:cs="Arial"/>
          <w:sz w:val="22"/>
          <w:szCs w:val="22"/>
          <w:lang w:val="en-GB"/>
        </w:rPr>
        <w:t xml:space="preserve">, issues of national and provincial importance should be reflected in the IDP of the municipality.  A clear </w:t>
      </w:r>
      <w:r w:rsidRPr="00667C6A">
        <w:rPr>
          <w:rFonts w:cs="Arial"/>
          <w:sz w:val="22"/>
          <w:szCs w:val="22"/>
          <w:lang w:val="en-GB"/>
        </w:rPr>
        <w:lastRenderedPageBreak/>
        <w:t xml:space="preserve">understanding of such intent is therefore imperative to ensure that the </w:t>
      </w:r>
      <w:r w:rsidR="00A52B13" w:rsidRPr="00667C6A">
        <w:rPr>
          <w:rFonts w:cs="Arial"/>
          <w:sz w:val="22"/>
          <w:szCs w:val="22"/>
          <w:lang w:val="en-GB"/>
        </w:rPr>
        <w:t>Municipality</w:t>
      </w:r>
      <w:r w:rsidRPr="00667C6A">
        <w:rPr>
          <w:rFonts w:cs="Arial"/>
          <w:sz w:val="22"/>
          <w:szCs w:val="22"/>
          <w:lang w:val="en-GB"/>
        </w:rPr>
        <w:t xml:space="preserve"> strategically complies with the key national and provincial priorities.</w:t>
      </w:r>
    </w:p>
    <w:p w:rsidR="005A697F" w:rsidRPr="00667C6A" w:rsidRDefault="005A697F" w:rsidP="006B215D">
      <w:pPr>
        <w:autoSpaceDE w:val="0"/>
        <w:autoSpaceDN w:val="0"/>
        <w:adjustRightInd w:val="0"/>
        <w:spacing w:line="276" w:lineRule="auto"/>
        <w:jc w:val="both"/>
        <w:rPr>
          <w:rFonts w:cs="Arial"/>
          <w:sz w:val="22"/>
          <w:szCs w:val="22"/>
          <w:lang w:val="en-GB"/>
        </w:rPr>
      </w:pPr>
    </w:p>
    <w:p w:rsidR="005A697F" w:rsidRPr="00667C6A" w:rsidRDefault="005A697F" w:rsidP="006B215D">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The aim of this revision cycle was to develop and coordinate a coherent plan to improve the quality of life for all the people living in the area, also reflecting issues of national and provincial importance. One of the key objectives is therefore to ensure that there exists alignment between national and provincial priorities, policies and strategies and the </w:t>
      </w:r>
      <w:r w:rsidR="00A52B13" w:rsidRPr="00667C6A">
        <w:rPr>
          <w:rFonts w:cs="Arial"/>
          <w:sz w:val="22"/>
          <w:szCs w:val="22"/>
          <w:lang w:val="en-GB"/>
        </w:rPr>
        <w:t>Municipality</w:t>
      </w:r>
      <w:r w:rsidRPr="00667C6A">
        <w:rPr>
          <w:rFonts w:cs="Arial"/>
          <w:sz w:val="22"/>
          <w:szCs w:val="22"/>
          <w:lang w:val="en-GB"/>
        </w:rPr>
        <w:t>’s response to these requirements.</w:t>
      </w:r>
    </w:p>
    <w:p w:rsidR="00627502" w:rsidRPr="00667C6A" w:rsidRDefault="00627502" w:rsidP="006B215D">
      <w:pPr>
        <w:autoSpaceDE w:val="0"/>
        <w:autoSpaceDN w:val="0"/>
        <w:adjustRightInd w:val="0"/>
        <w:spacing w:line="276" w:lineRule="auto"/>
        <w:jc w:val="both"/>
        <w:rPr>
          <w:rFonts w:cs="Arial"/>
          <w:sz w:val="22"/>
          <w:szCs w:val="22"/>
          <w:lang w:val="en-GB"/>
        </w:rPr>
      </w:pPr>
    </w:p>
    <w:p w:rsidR="00627502" w:rsidRPr="00667C6A" w:rsidRDefault="005A697F" w:rsidP="006B215D">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In order to ensure integrated and focused service delivery between all spheres of government it was important for the </w:t>
      </w:r>
      <w:r w:rsidR="00A52B13" w:rsidRPr="00667C6A">
        <w:rPr>
          <w:rFonts w:cs="Arial"/>
          <w:sz w:val="22"/>
          <w:szCs w:val="22"/>
          <w:lang w:val="en-GB"/>
        </w:rPr>
        <w:t>Municipality</w:t>
      </w:r>
      <w:r w:rsidRPr="00667C6A">
        <w:rPr>
          <w:rFonts w:cs="Arial"/>
          <w:sz w:val="22"/>
          <w:szCs w:val="22"/>
          <w:lang w:val="en-GB"/>
        </w:rPr>
        <w:t xml:space="preserve"> to align its budget priorities with that of national and provincial government.  All spheres of government place a high priority on infrastructure development, economic development and job creation, efficient service delivery, poverty alleviation and building sound institutional arrangements.</w:t>
      </w:r>
    </w:p>
    <w:p w:rsidR="000C6760" w:rsidRPr="00667C6A" w:rsidRDefault="000C6760" w:rsidP="00627502">
      <w:pPr>
        <w:autoSpaceDE w:val="0"/>
        <w:autoSpaceDN w:val="0"/>
        <w:adjustRightInd w:val="0"/>
        <w:spacing w:line="276" w:lineRule="auto"/>
        <w:jc w:val="both"/>
        <w:rPr>
          <w:rFonts w:cs="Arial"/>
          <w:sz w:val="22"/>
          <w:szCs w:val="22"/>
        </w:rPr>
      </w:pPr>
    </w:p>
    <w:p w:rsidR="00627502" w:rsidRPr="00667C6A" w:rsidRDefault="00627502" w:rsidP="00627502">
      <w:pPr>
        <w:autoSpaceDE w:val="0"/>
        <w:autoSpaceDN w:val="0"/>
        <w:adjustRightInd w:val="0"/>
        <w:spacing w:line="276" w:lineRule="auto"/>
        <w:jc w:val="both"/>
        <w:rPr>
          <w:rFonts w:cs="Arial"/>
          <w:sz w:val="22"/>
          <w:szCs w:val="22"/>
        </w:rPr>
      </w:pPr>
      <w:r w:rsidRPr="00667C6A">
        <w:rPr>
          <w:rFonts w:cs="Arial"/>
          <w:sz w:val="22"/>
          <w:szCs w:val="22"/>
        </w:rPr>
        <w:t xml:space="preserve">The identification of strategic focus areas which informed the preparation of the IDP and Budget is based </w:t>
      </w:r>
      <w:r w:rsidR="003B7BEF" w:rsidRPr="00667C6A">
        <w:rPr>
          <w:rFonts w:cs="Arial"/>
          <w:sz w:val="22"/>
          <w:szCs w:val="22"/>
        </w:rPr>
        <w:t>on the five</w:t>
      </w:r>
      <w:r w:rsidRPr="00667C6A">
        <w:rPr>
          <w:rFonts w:cs="Arial"/>
          <w:sz w:val="22"/>
          <w:szCs w:val="22"/>
        </w:rPr>
        <w:t xml:space="preserve"> key performance areas contained in the 5 Year Local Government Strategic Agenda which are:</w:t>
      </w:r>
    </w:p>
    <w:p w:rsidR="00627502" w:rsidRPr="00667C6A" w:rsidRDefault="00627502" w:rsidP="00627502">
      <w:pPr>
        <w:spacing w:line="276" w:lineRule="auto"/>
        <w:jc w:val="both"/>
        <w:rPr>
          <w:rFonts w:cs="Arial"/>
          <w:sz w:val="22"/>
          <w:szCs w:val="22"/>
        </w:rPr>
      </w:pPr>
    </w:p>
    <w:p w:rsidR="00627502" w:rsidRPr="00667C6A" w:rsidRDefault="00627502"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Spatial rationale and analysis</w:t>
      </w:r>
      <w:r w:rsidR="0003571B" w:rsidRPr="00667C6A">
        <w:rPr>
          <w:rFonts w:cs="Arial"/>
          <w:sz w:val="22"/>
          <w:szCs w:val="22"/>
        </w:rPr>
        <w:t>.</w:t>
      </w:r>
    </w:p>
    <w:p w:rsidR="00627502" w:rsidRPr="00667C6A" w:rsidRDefault="00627502"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Institutional development and transformation</w:t>
      </w:r>
      <w:r w:rsidR="0003571B" w:rsidRPr="00667C6A">
        <w:rPr>
          <w:rFonts w:cs="Arial"/>
          <w:sz w:val="22"/>
          <w:szCs w:val="22"/>
        </w:rPr>
        <w:t>.</w:t>
      </w:r>
    </w:p>
    <w:p w:rsidR="00627502" w:rsidRPr="00667C6A" w:rsidRDefault="00627502"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Local economic development</w:t>
      </w:r>
      <w:r w:rsidR="0003571B" w:rsidRPr="00667C6A">
        <w:rPr>
          <w:rFonts w:cs="Arial"/>
          <w:sz w:val="22"/>
          <w:szCs w:val="22"/>
        </w:rPr>
        <w:t>.</w:t>
      </w:r>
    </w:p>
    <w:p w:rsidR="00627502" w:rsidRPr="00667C6A" w:rsidRDefault="00627502"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Infrastructure and service delivery</w:t>
      </w:r>
      <w:r w:rsidR="0003571B" w:rsidRPr="00667C6A">
        <w:rPr>
          <w:rFonts w:cs="Arial"/>
          <w:sz w:val="22"/>
          <w:szCs w:val="22"/>
        </w:rPr>
        <w:t>.</w:t>
      </w:r>
    </w:p>
    <w:p w:rsidR="00627502" w:rsidRPr="00667C6A" w:rsidRDefault="00627502"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Good governance</w:t>
      </w:r>
      <w:r w:rsidR="0003571B" w:rsidRPr="00667C6A">
        <w:rPr>
          <w:rFonts w:cs="Arial"/>
          <w:sz w:val="22"/>
          <w:szCs w:val="22"/>
        </w:rPr>
        <w:t>.</w:t>
      </w:r>
    </w:p>
    <w:p w:rsidR="00627502" w:rsidRPr="00667C6A" w:rsidRDefault="00627502"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Financial viability</w:t>
      </w:r>
      <w:r w:rsidR="0003571B" w:rsidRPr="00667C6A">
        <w:rPr>
          <w:rFonts w:cs="Arial"/>
          <w:sz w:val="22"/>
          <w:szCs w:val="22"/>
        </w:rPr>
        <w:t>.</w:t>
      </w:r>
    </w:p>
    <w:p w:rsidR="00627502" w:rsidRPr="00436970" w:rsidRDefault="00627502" w:rsidP="000C6760">
      <w:pPr>
        <w:autoSpaceDE w:val="0"/>
        <w:autoSpaceDN w:val="0"/>
        <w:adjustRightInd w:val="0"/>
        <w:spacing w:line="276" w:lineRule="auto"/>
        <w:jc w:val="both"/>
        <w:rPr>
          <w:rFonts w:cs="Arial"/>
          <w:sz w:val="16"/>
          <w:szCs w:val="16"/>
          <w:highlight w:val="red"/>
          <w:lang w:val="en-GB"/>
        </w:rPr>
      </w:pPr>
    </w:p>
    <w:p w:rsidR="005A697F" w:rsidRPr="000C6760" w:rsidRDefault="005A697F" w:rsidP="006B215D">
      <w:pPr>
        <w:autoSpaceDE w:val="0"/>
        <w:autoSpaceDN w:val="0"/>
        <w:adjustRightInd w:val="0"/>
        <w:spacing w:line="276" w:lineRule="auto"/>
        <w:jc w:val="both"/>
        <w:rPr>
          <w:rFonts w:cs="Arial"/>
          <w:b/>
          <w:sz w:val="16"/>
          <w:szCs w:val="16"/>
          <w:lang w:val="en-GB"/>
        </w:rPr>
      </w:pPr>
    </w:p>
    <w:p w:rsidR="005A697F" w:rsidRPr="000836A3" w:rsidRDefault="005A697F" w:rsidP="002D6413">
      <w:pPr>
        <w:pStyle w:val="Heading2"/>
        <w:numPr>
          <w:ilvl w:val="1"/>
          <w:numId w:val="9"/>
        </w:numPr>
        <w:ind w:left="567" w:hanging="576"/>
        <w:rPr>
          <w:color w:val="984806"/>
        </w:rPr>
      </w:pPr>
      <w:bookmarkStart w:id="120" w:name="_Toc286034108"/>
      <w:bookmarkStart w:id="121" w:name="_Toc286034699"/>
      <w:bookmarkStart w:id="122" w:name="_Toc286041441"/>
      <w:bookmarkStart w:id="123" w:name="_Toc286041510"/>
      <w:bookmarkStart w:id="124" w:name="_Toc286117321"/>
      <w:bookmarkStart w:id="125" w:name="_Toc287342532"/>
      <w:bookmarkStart w:id="126" w:name="_Toc287797055"/>
      <w:bookmarkStart w:id="127" w:name="_Toc356917074"/>
      <w:bookmarkStart w:id="128" w:name="_Toc3962571"/>
      <w:r w:rsidRPr="000836A3">
        <w:rPr>
          <w:color w:val="984806"/>
        </w:rPr>
        <w:t>Measurable performance objectives and indicators</w:t>
      </w:r>
      <w:bookmarkEnd w:id="120"/>
      <w:bookmarkEnd w:id="121"/>
      <w:bookmarkEnd w:id="122"/>
      <w:bookmarkEnd w:id="123"/>
      <w:bookmarkEnd w:id="124"/>
      <w:bookmarkEnd w:id="125"/>
      <w:bookmarkEnd w:id="126"/>
      <w:bookmarkEnd w:id="127"/>
      <w:bookmarkEnd w:id="128"/>
    </w:p>
    <w:p w:rsidR="005A697F" w:rsidRPr="006B215D" w:rsidRDefault="005A697F" w:rsidP="000039B3">
      <w:pPr>
        <w:autoSpaceDE w:val="0"/>
        <w:autoSpaceDN w:val="0"/>
        <w:adjustRightInd w:val="0"/>
        <w:spacing w:line="276" w:lineRule="auto"/>
        <w:jc w:val="both"/>
        <w:rPr>
          <w:rFonts w:cs="Arial"/>
          <w:sz w:val="20"/>
          <w:szCs w:val="20"/>
          <w:lang w:val="en-GB"/>
        </w:rPr>
      </w:pPr>
    </w:p>
    <w:p w:rsidR="005A697F" w:rsidRPr="00667C6A" w:rsidRDefault="005A697F" w:rsidP="000039B3">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Performance Management is a system intended to manage and monitor service delivery progress against the identified strategic objectives and priorities.  In accordance with legislative requirements and good business practices as informed by the National Framework for Managing Programme Performance Information, the </w:t>
      </w:r>
      <w:r w:rsidR="00A52B13" w:rsidRPr="00667C6A">
        <w:rPr>
          <w:rFonts w:cs="Arial"/>
          <w:sz w:val="22"/>
          <w:szCs w:val="22"/>
          <w:lang w:val="en-GB"/>
        </w:rPr>
        <w:t>Municipality</w:t>
      </w:r>
      <w:r w:rsidRPr="00667C6A">
        <w:rPr>
          <w:rFonts w:cs="Arial"/>
          <w:sz w:val="22"/>
          <w:szCs w:val="22"/>
          <w:lang w:val="en-GB"/>
        </w:rPr>
        <w:t xml:space="preserve"> has developed and implemented a performance management system of which system is constantly refined as the integrated planning process unfolds.  The Municipality </w:t>
      </w:r>
      <w:r w:rsidR="00F0568A" w:rsidRPr="00667C6A">
        <w:rPr>
          <w:rFonts w:cs="Arial"/>
          <w:sz w:val="22"/>
          <w:szCs w:val="22"/>
          <w:lang w:val="en-GB"/>
        </w:rPr>
        <w:t>target, monitors, assesses</w:t>
      </w:r>
      <w:r w:rsidRPr="00667C6A">
        <w:rPr>
          <w:rFonts w:cs="Arial"/>
          <w:sz w:val="22"/>
          <w:szCs w:val="22"/>
          <w:lang w:val="en-GB"/>
        </w:rPr>
        <w:t xml:space="preserve"> and reviews organisational performance which in turn is directly linked to individual employee’s performance.</w:t>
      </w:r>
    </w:p>
    <w:p w:rsidR="005A697F" w:rsidRPr="00667C6A" w:rsidRDefault="005A697F" w:rsidP="000039B3">
      <w:pPr>
        <w:autoSpaceDE w:val="0"/>
        <w:autoSpaceDN w:val="0"/>
        <w:adjustRightInd w:val="0"/>
        <w:spacing w:line="276" w:lineRule="auto"/>
        <w:jc w:val="both"/>
        <w:rPr>
          <w:rFonts w:cs="Arial"/>
          <w:sz w:val="22"/>
          <w:szCs w:val="22"/>
          <w:lang w:val="en-GB"/>
        </w:rPr>
      </w:pPr>
    </w:p>
    <w:p w:rsidR="005A697F" w:rsidRPr="00667C6A" w:rsidRDefault="005A697F" w:rsidP="000039B3">
      <w:pPr>
        <w:autoSpaceDE w:val="0"/>
        <w:autoSpaceDN w:val="0"/>
        <w:adjustRightInd w:val="0"/>
        <w:spacing w:line="276" w:lineRule="auto"/>
        <w:jc w:val="both"/>
        <w:rPr>
          <w:rFonts w:cs="Arial"/>
          <w:sz w:val="22"/>
          <w:szCs w:val="22"/>
          <w:lang w:val="en-GB"/>
        </w:rPr>
      </w:pPr>
      <w:r w:rsidRPr="00667C6A">
        <w:rPr>
          <w:rFonts w:cs="Arial"/>
          <w:sz w:val="22"/>
          <w:szCs w:val="22"/>
          <w:lang w:val="en-GB"/>
        </w:rPr>
        <w:t>At any given time within government, information from multiple years is being considered; plans and budgets for next year; implementation for the current year; and reporting on last year's performance.  Although performance information is reported publicly during the last stage, the performance information process begins when policies are being developed, and continues through each of the planning, budgeting, implementation and reporting stages.  The planning, budgeting and reporting cycle can be graphically illustrated as follows:</w:t>
      </w:r>
    </w:p>
    <w:p w:rsidR="00E51765" w:rsidRPr="000C6760" w:rsidRDefault="00E51765" w:rsidP="000039B3">
      <w:pPr>
        <w:spacing w:line="276" w:lineRule="auto"/>
        <w:jc w:val="both"/>
        <w:rPr>
          <w:rFonts w:cs="Arial"/>
          <w:sz w:val="20"/>
          <w:szCs w:val="20"/>
          <w:lang w:val="en-GB"/>
        </w:rPr>
      </w:pPr>
    </w:p>
    <w:p w:rsidR="005A697F" w:rsidRPr="006B215D" w:rsidRDefault="00CE33F7" w:rsidP="000039B3">
      <w:pPr>
        <w:autoSpaceDE w:val="0"/>
        <w:autoSpaceDN w:val="0"/>
        <w:adjustRightInd w:val="0"/>
        <w:spacing w:line="276" w:lineRule="auto"/>
        <w:ind w:firstLine="709"/>
        <w:jc w:val="both"/>
        <w:rPr>
          <w:rFonts w:cs="Arial"/>
          <w:sz w:val="20"/>
          <w:szCs w:val="20"/>
          <w:lang w:val="en-GB"/>
        </w:rPr>
      </w:pPr>
      <w:r>
        <w:rPr>
          <w:rFonts w:cs="Arial"/>
          <w:noProof/>
          <w:sz w:val="20"/>
          <w:szCs w:val="20"/>
        </w:rPr>
        <w:lastRenderedPageBreak/>
        <w:drawing>
          <wp:inline distT="0" distB="0" distL="0" distR="0">
            <wp:extent cx="5048250" cy="352425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5048250" cy="3524250"/>
                    </a:xfrm>
                    <a:prstGeom prst="rect">
                      <a:avLst/>
                    </a:prstGeom>
                    <a:noFill/>
                    <a:ln w="9525">
                      <a:noFill/>
                      <a:miter lim="800000"/>
                      <a:headEnd/>
                      <a:tailEnd/>
                    </a:ln>
                  </pic:spPr>
                </pic:pic>
              </a:graphicData>
            </a:graphic>
          </wp:inline>
        </w:drawing>
      </w:r>
    </w:p>
    <w:p w:rsidR="005A697F" w:rsidRPr="006B215D" w:rsidRDefault="005A697F" w:rsidP="000039B3">
      <w:pPr>
        <w:spacing w:line="276" w:lineRule="auto"/>
        <w:jc w:val="both"/>
        <w:rPr>
          <w:rFonts w:cs="Arial"/>
          <w:sz w:val="20"/>
          <w:szCs w:val="20"/>
          <w:lang w:val="en-GB"/>
        </w:rPr>
      </w:pPr>
    </w:p>
    <w:p w:rsidR="00E51765" w:rsidRPr="00667C6A" w:rsidRDefault="005A697F" w:rsidP="000039B3">
      <w:pPr>
        <w:autoSpaceDE w:val="0"/>
        <w:autoSpaceDN w:val="0"/>
        <w:adjustRightInd w:val="0"/>
        <w:spacing w:line="276" w:lineRule="auto"/>
        <w:jc w:val="both"/>
        <w:rPr>
          <w:rFonts w:cs="Arial"/>
          <w:sz w:val="22"/>
          <w:szCs w:val="22"/>
        </w:rPr>
      </w:pPr>
      <w:r w:rsidRPr="00667C6A">
        <w:rPr>
          <w:rFonts w:cs="Arial"/>
          <w:sz w:val="22"/>
          <w:szCs w:val="22"/>
          <w:lang w:val="en-GB"/>
        </w:rPr>
        <w:t xml:space="preserve">The performance of the </w:t>
      </w:r>
      <w:r w:rsidR="00A52B13" w:rsidRPr="00667C6A">
        <w:rPr>
          <w:rFonts w:cs="Arial"/>
          <w:sz w:val="22"/>
          <w:szCs w:val="22"/>
          <w:lang w:val="en-GB"/>
        </w:rPr>
        <w:t>Municipality</w:t>
      </w:r>
      <w:r w:rsidRPr="00667C6A">
        <w:rPr>
          <w:rFonts w:cs="Arial"/>
          <w:sz w:val="22"/>
          <w:szCs w:val="22"/>
          <w:lang w:val="en-GB"/>
        </w:rPr>
        <w:t xml:space="preserve"> relates directly to the extent to which it has achieved success in realising its goals and objectives, complied with legislative requirements and meeting stakeholder expectations</w:t>
      </w:r>
      <w:r w:rsidR="00E51765" w:rsidRPr="00667C6A">
        <w:rPr>
          <w:rFonts w:cs="Arial"/>
          <w:sz w:val="22"/>
          <w:szCs w:val="22"/>
          <w:lang w:val="en-GB"/>
        </w:rPr>
        <w:t>.</w:t>
      </w:r>
    </w:p>
    <w:p w:rsidR="005A697F" w:rsidRPr="00667C6A" w:rsidRDefault="005A697F" w:rsidP="000039B3">
      <w:pPr>
        <w:autoSpaceDE w:val="0"/>
        <w:autoSpaceDN w:val="0"/>
        <w:adjustRightInd w:val="0"/>
        <w:spacing w:line="276" w:lineRule="auto"/>
        <w:ind w:left="720"/>
        <w:jc w:val="both"/>
        <w:rPr>
          <w:rFonts w:cs="Arial"/>
          <w:sz w:val="22"/>
          <w:szCs w:val="22"/>
          <w:lang w:val="en-GB"/>
        </w:rPr>
      </w:pPr>
    </w:p>
    <w:p w:rsidR="005A697F" w:rsidRPr="00667C6A" w:rsidRDefault="005A697F" w:rsidP="000039B3">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The performance information concepts used by the </w:t>
      </w:r>
      <w:r w:rsidR="00A52B13" w:rsidRPr="00667C6A">
        <w:rPr>
          <w:rFonts w:cs="Arial"/>
          <w:sz w:val="22"/>
          <w:szCs w:val="22"/>
          <w:lang w:val="en-GB"/>
        </w:rPr>
        <w:t>Municipality</w:t>
      </w:r>
      <w:r w:rsidRPr="00667C6A">
        <w:rPr>
          <w:rFonts w:cs="Arial"/>
          <w:sz w:val="22"/>
          <w:szCs w:val="22"/>
          <w:lang w:val="en-GB"/>
        </w:rPr>
        <w:t xml:space="preserve"> in its integrated performance management system are aligned to the </w:t>
      </w:r>
      <w:r w:rsidRPr="00667C6A">
        <w:rPr>
          <w:rFonts w:cs="Arial"/>
          <w:b/>
          <w:i/>
          <w:sz w:val="22"/>
          <w:szCs w:val="22"/>
          <w:lang w:val="en-GB"/>
        </w:rPr>
        <w:t>Framework of Managing Programme Performance Information</w:t>
      </w:r>
      <w:r w:rsidRPr="00667C6A">
        <w:rPr>
          <w:rFonts w:cs="Arial"/>
          <w:sz w:val="22"/>
          <w:szCs w:val="22"/>
          <w:lang w:val="en-GB"/>
        </w:rPr>
        <w:t xml:space="preserve"> issued by the National Treasury:</w:t>
      </w:r>
    </w:p>
    <w:p w:rsidR="009B29B4" w:rsidRPr="006B215D" w:rsidRDefault="009B29B4" w:rsidP="000039B3">
      <w:pPr>
        <w:autoSpaceDE w:val="0"/>
        <w:autoSpaceDN w:val="0"/>
        <w:adjustRightInd w:val="0"/>
        <w:spacing w:line="276" w:lineRule="auto"/>
        <w:jc w:val="both"/>
        <w:rPr>
          <w:rFonts w:cs="Arial"/>
          <w:sz w:val="20"/>
          <w:szCs w:val="20"/>
          <w:lang w:val="en-GB"/>
        </w:rPr>
      </w:pPr>
    </w:p>
    <w:p w:rsidR="005A697F" w:rsidRPr="000C6760" w:rsidRDefault="005A697F" w:rsidP="000039B3">
      <w:pPr>
        <w:autoSpaceDE w:val="0"/>
        <w:autoSpaceDN w:val="0"/>
        <w:adjustRightInd w:val="0"/>
        <w:spacing w:line="276" w:lineRule="auto"/>
        <w:jc w:val="both"/>
        <w:rPr>
          <w:rFonts w:cs="Arial"/>
          <w:sz w:val="16"/>
          <w:szCs w:val="16"/>
          <w:lang w:val="en-GB"/>
        </w:rPr>
      </w:pPr>
    </w:p>
    <w:p w:rsidR="00E51765" w:rsidRPr="00987A4D" w:rsidRDefault="00CE33F7" w:rsidP="00987A4D">
      <w:pPr>
        <w:tabs>
          <w:tab w:val="left" w:pos="851"/>
        </w:tabs>
        <w:autoSpaceDE w:val="0"/>
        <w:autoSpaceDN w:val="0"/>
        <w:adjustRightInd w:val="0"/>
        <w:spacing w:line="276" w:lineRule="auto"/>
        <w:ind w:firstLine="851"/>
        <w:jc w:val="both"/>
        <w:rPr>
          <w:rFonts w:cs="Arial"/>
          <w:noProof/>
          <w:sz w:val="20"/>
          <w:szCs w:val="20"/>
          <w:lang w:val="en-ZA" w:eastAsia="en-ZA"/>
        </w:rPr>
      </w:pPr>
      <w:r>
        <w:rPr>
          <w:rFonts w:cs="Arial"/>
          <w:noProof/>
          <w:sz w:val="20"/>
          <w:szCs w:val="20"/>
        </w:rPr>
        <w:drawing>
          <wp:inline distT="0" distB="0" distL="0" distR="0">
            <wp:extent cx="4314825" cy="2971800"/>
            <wp:effectExtent l="19050" t="19050" r="28575" b="19050"/>
            <wp:docPr id="19"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35" cstate="print"/>
                    <a:srcRect l="-735" t="-166" r="-2110" b="-12421"/>
                    <a:stretch>
                      <a:fillRect/>
                    </a:stretch>
                  </pic:blipFill>
                  <pic:spPr bwMode="auto">
                    <a:xfrm>
                      <a:off x="0" y="0"/>
                      <a:ext cx="4314825" cy="2971800"/>
                    </a:xfrm>
                    <a:prstGeom prst="rect">
                      <a:avLst/>
                    </a:prstGeom>
                    <a:noFill/>
                    <a:ln w="6350" cmpd="sng">
                      <a:solidFill>
                        <a:srgbClr val="000000"/>
                      </a:solidFill>
                      <a:miter lim="800000"/>
                      <a:headEnd/>
                      <a:tailEnd/>
                    </a:ln>
                    <a:effectLst/>
                  </pic:spPr>
                </pic:pic>
              </a:graphicData>
            </a:graphic>
          </wp:inline>
        </w:drawing>
      </w:r>
    </w:p>
    <w:p w:rsidR="000C6760" w:rsidRPr="00987A4D" w:rsidRDefault="000C6760" w:rsidP="00987A4D">
      <w:pPr>
        <w:autoSpaceDE w:val="0"/>
        <w:autoSpaceDN w:val="0"/>
        <w:adjustRightInd w:val="0"/>
        <w:spacing w:line="276" w:lineRule="auto"/>
        <w:jc w:val="both"/>
        <w:rPr>
          <w:rFonts w:cs="Arial"/>
          <w:sz w:val="20"/>
          <w:szCs w:val="20"/>
          <w:lang w:val="en-GB"/>
        </w:rPr>
      </w:pPr>
    </w:p>
    <w:p w:rsidR="00834D42" w:rsidRDefault="00834D42" w:rsidP="00987A4D">
      <w:pPr>
        <w:autoSpaceDE w:val="0"/>
        <w:autoSpaceDN w:val="0"/>
        <w:adjustRightInd w:val="0"/>
        <w:spacing w:line="276" w:lineRule="auto"/>
        <w:jc w:val="both"/>
        <w:rPr>
          <w:rFonts w:cs="Arial"/>
          <w:sz w:val="20"/>
          <w:szCs w:val="20"/>
          <w:lang w:val="en-GB"/>
        </w:rPr>
      </w:pPr>
    </w:p>
    <w:p w:rsidR="00834D42" w:rsidRDefault="00834D42" w:rsidP="00987A4D">
      <w:pPr>
        <w:autoSpaceDE w:val="0"/>
        <w:autoSpaceDN w:val="0"/>
        <w:adjustRightInd w:val="0"/>
        <w:spacing w:line="276" w:lineRule="auto"/>
        <w:jc w:val="both"/>
        <w:rPr>
          <w:rFonts w:cs="Arial"/>
          <w:sz w:val="20"/>
          <w:szCs w:val="20"/>
          <w:lang w:val="en-GB"/>
        </w:rPr>
      </w:pPr>
    </w:p>
    <w:p w:rsidR="00834D42" w:rsidRDefault="00834D42" w:rsidP="00987A4D">
      <w:pPr>
        <w:autoSpaceDE w:val="0"/>
        <w:autoSpaceDN w:val="0"/>
        <w:adjustRightInd w:val="0"/>
        <w:spacing w:line="276" w:lineRule="auto"/>
        <w:jc w:val="both"/>
        <w:rPr>
          <w:rFonts w:cs="Arial"/>
          <w:sz w:val="20"/>
          <w:szCs w:val="20"/>
          <w:lang w:val="en-GB"/>
        </w:rPr>
      </w:pPr>
    </w:p>
    <w:p w:rsidR="005A697F" w:rsidRPr="006B215D" w:rsidRDefault="005A697F" w:rsidP="00987A4D">
      <w:pPr>
        <w:autoSpaceDE w:val="0"/>
        <w:autoSpaceDN w:val="0"/>
        <w:adjustRightInd w:val="0"/>
        <w:spacing w:line="276" w:lineRule="auto"/>
        <w:jc w:val="both"/>
        <w:rPr>
          <w:rFonts w:cs="Arial"/>
          <w:sz w:val="20"/>
          <w:szCs w:val="20"/>
          <w:lang w:val="en-GB"/>
        </w:rPr>
      </w:pPr>
      <w:r w:rsidRPr="00AF6227">
        <w:rPr>
          <w:rFonts w:cs="Arial"/>
          <w:sz w:val="20"/>
          <w:szCs w:val="20"/>
          <w:lang w:val="en-GB"/>
        </w:rPr>
        <w:lastRenderedPageBreak/>
        <w:t>The following table sets out the municipalit</w:t>
      </w:r>
      <w:r w:rsidR="00E51765" w:rsidRPr="00AF6227">
        <w:rPr>
          <w:rFonts w:cs="Arial"/>
          <w:sz w:val="20"/>
          <w:szCs w:val="20"/>
          <w:lang w:val="en-GB"/>
        </w:rPr>
        <w:t>y’s</w:t>
      </w:r>
      <w:r w:rsidRPr="00AF6227">
        <w:rPr>
          <w:rFonts w:cs="Arial"/>
          <w:sz w:val="20"/>
          <w:szCs w:val="20"/>
          <w:lang w:val="en-GB"/>
        </w:rPr>
        <w:t xml:space="preserve"> main performance objectives and benchmarks for the </w:t>
      </w:r>
      <w:r w:rsidR="00DE0CF8">
        <w:rPr>
          <w:rFonts w:cs="Arial"/>
          <w:sz w:val="20"/>
          <w:szCs w:val="20"/>
          <w:lang w:val="en-GB"/>
        </w:rPr>
        <w:t>2020/21</w:t>
      </w:r>
      <w:r w:rsidR="0052622D">
        <w:rPr>
          <w:rFonts w:cs="Arial"/>
          <w:sz w:val="20"/>
          <w:szCs w:val="20"/>
          <w:lang w:val="en-GB"/>
        </w:rPr>
        <w:t xml:space="preserve"> </w:t>
      </w:r>
      <w:r w:rsidRPr="00AF6227">
        <w:rPr>
          <w:rFonts w:cs="Arial"/>
          <w:sz w:val="20"/>
          <w:szCs w:val="20"/>
          <w:lang w:val="en-GB"/>
        </w:rPr>
        <w:t>MTREF.</w:t>
      </w:r>
    </w:p>
    <w:p w:rsidR="005A697F" w:rsidRPr="006B215D" w:rsidRDefault="005A697F" w:rsidP="00987A4D">
      <w:pPr>
        <w:autoSpaceDE w:val="0"/>
        <w:autoSpaceDN w:val="0"/>
        <w:adjustRightInd w:val="0"/>
        <w:spacing w:line="276" w:lineRule="auto"/>
        <w:jc w:val="both"/>
        <w:rPr>
          <w:rFonts w:cs="Arial"/>
          <w:sz w:val="20"/>
          <w:szCs w:val="20"/>
          <w:lang w:val="en-GB"/>
        </w:rPr>
      </w:pPr>
    </w:p>
    <w:p w:rsidR="00F0568A" w:rsidRPr="00667C6A" w:rsidRDefault="00F0568A" w:rsidP="00987A4D">
      <w:pPr>
        <w:pStyle w:val="Caption"/>
        <w:tabs>
          <w:tab w:val="left" w:pos="851"/>
        </w:tabs>
        <w:rPr>
          <w:color w:val="984806"/>
          <w:szCs w:val="22"/>
        </w:rPr>
      </w:pPr>
      <w:bookmarkStart w:id="129" w:name="_Toc356917101"/>
      <w:bookmarkStart w:id="130" w:name="_Toc509209334"/>
      <w:r w:rsidRPr="00667C6A">
        <w:rPr>
          <w:color w:val="984806"/>
          <w:szCs w:val="22"/>
        </w:rPr>
        <w:t>Table 1</w:t>
      </w:r>
      <w:r w:rsidR="0023235B" w:rsidRPr="00667C6A">
        <w:rPr>
          <w:color w:val="984806"/>
          <w:szCs w:val="22"/>
        </w:rPr>
        <w:t>5</w:t>
      </w:r>
      <w:r w:rsidRPr="00667C6A">
        <w:rPr>
          <w:color w:val="984806"/>
          <w:szCs w:val="22"/>
        </w:rPr>
        <w:tab/>
        <w:t>MBRR NT SA8 – Performance indicators and benchmarks</w:t>
      </w:r>
      <w:bookmarkEnd w:id="129"/>
      <w:bookmarkEnd w:id="130"/>
      <w:r w:rsidR="00736C5B" w:rsidRPr="00667C6A">
        <w:rPr>
          <w:color w:val="984806"/>
          <w:szCs w:val="22"/>
        </w:rPr>
        <w:br/>
      </w:r>
      <w:r w:rsidR="00A63D5E" w:rsidRPr="00A63D5E">
        <w:rPr>
          <w:szCs w:val="22"/>
        </w:rPr>
        <w:drawing>
          <wp:inline distT="0" distB="0" distL="0" distR="0">
            <wp:extent cx="6545580" cy="8214360"/>
            <wp:effectExtent l="19050" t="0" r="7620" b="0"/>
            <wp:docPr id="3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6547618" cy="8216918"/>
                    </a:xfrm>
                    <a:prstGeom prst="rect">
                      <a:avLst/>
                    </a:prstGeom>
                    <a:noFill/>
                    <a:ln w="9525">
                      <a:noFill/>
                      <a:miter lim="800000"/>
                      <a:headEnd/>
                      <a:tailEnd/>
                    </a:ln>
                  </pic:spPr>
                </pic:pic>
              </a:graphicData>
            </a:graphic>
          </wp:inline>
        </w:drawing>
      </w:r>
    </w:p>
    <w:p w:rsidR="00AC334D" w:rsidRPr="00AC334D" w:rsidRDefault="00AC334D" w:rsidP="00AC334D">
      <w:pPr>
        <w:pStyle w:val="Heading2"/>
        <w:numPr>
          <w:ilvl w:val="1"/>
          <w:numId w:val="9"/>
        </w:numPr>
        <w:ind w:left="567" w:hanging="576"/>
        <w:rPr>
          <w:color w:val="984806"/>
        </w:rPr>
      </w:pPr>
      <w:bookmarkStart w:id="131" w:name="_Toc286034109"/>
      <w:bookmarkStart w:id="132" w:name="_Toc286034700"/>
      <w:bookmarkStart w:id="133" w:name="_Toc287797056"/>
      <w:bookmarkStart w:id="134" w:name="_Toc3962572"/>
      <w:bookmarkStart w:id="135" w:name="_Toc286034121"/>
      <w:bookmarkStart w:id="136" w:name="_Toc286034712"/>
      <w:bookmarkStart w:id="137" w:name="_Toc286041443"/>
      <w:bookmarkStart w:id="138" w:name="_Toc286041512"/>
      <w:bookmarkStart w:id="139" w:name="_Toc286117323"/>
      <w:bookmarkStart w:id="140" w:name="_Toc287342534"/>
      <w:bookmarkStart w:id="141" w:name="_Toc287797068"/>
      <w:r w:rsidRPr="00AC334D">
        <w:rPr>
          <w:color w:val="984806"/>
        </w:rPr>
        <w:lastRenderedPageBreak/>
        <w:t>Performance indicators and benchmarks</w:t>
      </w:r>
      <w:bookmarkEnd w:id="131"/>
      <w:bookmarkEnd w:id="132"/>
      <w:bookmarkEnd w:id="133"/>
      <w:bookmarkEnd w:id="134"/>
    </w:p>
    <w:p w:rsidR="00AC334D" w:rsidRPr="00667C6A" w:rsidRDefault="00AC334D" w:rsidP="00AC334D">
      <w:pPr>
        <w:pStyle w:val="Heading4"/>
        <w:numPr>
          <w:ilvl w:val="2"/>
          <w:numId w:val="9"/>
        </w:numPr>
        <w:rPr>
          <w:rFonts w:ascii="Arial" w:hAnsi="Arial" w:cs="Arial"/>
          <w:b w:val="0"/>
          <w:color w:val="auto"/>
          <w:lang w:val="en-GB"/>
        </w:rPr>
      </w:pPr>
      <w:r w:rsidRPr="00667C6A">
        <w:rPr>
          <w:rFonts w:ascii="Arial" w:hAnsi="Arial" w:cs="Arial"/>
          <w:b w:val="0"/>
          <w:color w:val="auto"/>
          <w:lang w:val="en-GB"/>
        </w:rPr>
        <w:t>Borrowing Management</w:t>
      </w:r>
    </w:p>
    <w:p w:rsidR="00AC334D" w:rsidRPr="00667C6A" w:rsidRDefault="00AC334D" w:rsidP="00AC334D">
      <w:pPr>
        <w:autoSpaceDE w:val="0"/>
        <w:autoSpaceDN w:val="0"/>
        <w:adjustRightInd w:val="0"/>
        <w:spacing w:line="276" w:lineRule="auto"/>
        <w:jc w:val="both"/>
        <w:rPr>
          <w:rFonts w:cs="Arial"/>
          <w:sz w:val="22"/>
          <w:szCs w:val="22"/>
          <w:lang w:val="en-GB"/>
        </w:rPr>
      </w:pPr>
      <w:r w:rsidRPr="00667C6A">
        <w:rPr>
          <w:rFonts w:cs="Arial"/>
          <w:sz w:val="22"/>
          <w:szCs w:val="22"/>
          <w:lang w:val="en-GB"/>
        </w:rPr>
        <w:t>Capital expenditure in local government can be funded by capital grants, own-source revenue and long term borrowing. The ability of a municipality to raise long term borrowing is largely dependent on its creditworthiness and financial position. As with all other municipalities, Joe Gqabi District Municipality’s borrowing strategy is primarily informed by the affordability of debt repayments.</w:t>
      </w:r>
    </w:p>
    <w:p w:rsidR="00AC334D" w:rsidRPr="00667C6A" w:rsidRDefault="00AC334D" w:rsidP="00AC334D">
      <w:pPr>
        <w:autoSpaceDE w:val="0"/>
        <w:autoSpaceDN w:val="0"/>
        <w:adjustRightInd w:val="0"/>
        <w:spacing w:line="276" w:lineRule="auto"/>
        <w:jc w:val="both"/>
        <w:rPr>
          <w:rFonts w:cs="Arial"/>
          <w:sz w:val="22"/>
          <w:szCs w:val="22"/>
          <w:lang w:val="en-GB"/>
        </w:rPr>
      </w:pPr>
    </w:p>
    <w:p w:rsidR="00AC334D" w:rsidRPr="00667C6A" w:rsidRDefault="00AC334D" w:rsidP="00AC334D">
      <w:pPr>
        <w:autoSpaceDE w:val="0"/>
        <w:autoSpaceDN w:val="0"/>
        <w:adjustRightInd w:val="0"/>
        <w:spacing w:line="276" w:lineRule="auto"/>
        <w:jc w:val="both"/>
        <w:rPr>
          <w:rFonts w:cs="Arial"/>
          <w:sz w:val="22"/>
          <w:szCs w:val="22"/>
          <w:lang w:val="en-GB"/>
        </w:rPr>
      </w:pPr>
      <w:r w:rsidRPr="00667C6A">
        <w:rPr>
          <w:rFonts w:cs="Arial"/>
          <w:sz w:val="22"/>
          <w:szCs w:val="22"/>
          <w:lang w:val="en-GB"/>
        </w:rPr>
        <w:t>The structure of the Municipality’s debt portfolio is dominated by annuity loans. The following financial performance indicators have formed par</w:t>
      </w:r>
      <w:r w:rsidR="004663F9" w:rsidRPr="00667C6A">
        <w:rPr>
          <w:rFonts w:cs="Arial"/>
          <w:sz w:val="22"/>
          <w:szCs w:val="22"/>
          <w:lang w:val="en-GB"/>
        </w:rPr>
        <w:t>t of the compilation of the 20</w:t>
      </w:r>
      <w:r w:rsidR="00DE0CF8">
        <w:rPr>
          <w:rFonts w:cs="Arial"/>
          <w:sz w:val="22"/>
          <w:szCs w:val="22"/>
          <w:lang w:val="en-GB"/>
        </w:rPr>
        <w:t>20/21</w:t>
      </w:r>
      <w:r w:rsidRPr="00667C6A">
        <w:rPr>
          <w:rFonts w:cs="Arial"/>
          <w:sz w:val="22"/>
          <w:szCs w:val="22"/>
          <w:lang w:val="en-GB"/>
        </w:rPr>
        <w:t xml:space="preserve"> MTREF:</w:t>
      </w:r>
    </w:p>
    <w:p w:rsidR="00AC334D" w:rsidRPr="00667C6A" w:rsidRDefault="00AC334D" w:rsidP="00AC334D">
      <w:pPr>
        <w:spacing w:line="276" w:lineRule="auto"/>
        <w:ind w:left="709"/>
        <w:jc w:val="both"/>
        <w:rPr>
          <w:rFonts w:cs="Arial"/>
          <w:sz w:val="22"/>
          <w:szCs w:val="22"/>
        </w:rPr>
      </w:pPr>
    </w:p>
    <w:p w:rsidR="00AC334D" w:rsidRPr="00667C6A" w:rsidRDefault="00AC334D" w:rsidP="00AC334D">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i/>
          <w:sz w:val="22"/>
          <w:szCs w:val="22"/>
        </w:rPr>
        <w:t>Capital charges to operating expenditure</w:t>
      </w:r>
      <w:r w:rsidRPr="00667C6A">
        <w:rPr>
          <w:rFonts w:cs="Arial"/>
          <w:sz w:val="22"/>
          <w:szCs w:val="22"/>
        </w:rPr>
        <w:t xml:space="preserve"> is a measure of the cost of borrowing in relation to the operating expenditure. It can be seen that th</w:t>
      </w:r>
      <w:r w:rsidR="0052622D">
        <w:rPr>
          <w:rFonts w:cs="Arial"/>
          <w:sz w:val="22"/>
          <w:szCs w:val="22"/>
        </w:rPr>
        <w:t>e cost of borrowing has</w:t>
      </w:r>
      <w:r w:rsidR="00A63D5E">
        <w:rPr>
          <w:rFonts w:cs="Arial"/>
          <w:sz w:val="22"/>
          <w:szCs w:val="22"/>
        </w:rPr>
        <w:t xml:space="preserve"> in</w:t>
      </w:r>
      <w:r w:rsidRPr="00667C6A">
        <w:rPr>
          <w:rFonts w:cs="Arial"/>
          <w:sz w:val="22"/>
          <w:szCs w:val="22"/>
        </w:rPr>
        <w:t xml:space="preserve">creased from </w:t>
      </w:r>
      <w:r w:rsidR="00A63D5E">
        <w:rPr>
          <w:rFonts w:cs="Arial"/>
          <w:sz w:val="22"/>
          <w:szCs w:val="22"/>
        </w:rPr>
        <w:t>1.2</w:t>
      </w:r>
      <w:r w:rsidRPr="00667C6A">
        <w:rPr>
          <w:rFonts w:cs="Arial"/>
          <w:sz w:val="22"/>
          <w:szCs w:val="22"/>
        </w:rPr>
        <w:t xml:space="preserve"> percent </w:t>
      </w:r>
      <w:r w:rsidR="00A63D5E">
        <w:rPr>
          <w:rFonts w:cs="Arial"/>
          <w:sz w:val="22"/>
          <w:szCs w:val="22"/>
        </w:rPr>
        <w:t>per the</w:t>
      </w:r>
      <w:r w:rsidRPr="00667C6A">
        <w:rPr>
          <w:rFonts w:cs="Arial"/>
          <w:sz w:val="22"/>
          <w:szCs w:val="22"/>
        </w:rPr>
        <w:t xml:space="preserve"> 201</w:t>
      </w:r>
      <w:r w:rsidR="00DE0CF8">
        <w:rPr>
          <w:rFonts w:cs="Arial"/>
          <w:sz w:val="22"/>
          <w:szCs w:val="22"/>
        </w:rPr>
        <w:t>9/20</w:t>
      </w:r>
      <w:r w:rsidR="00A63D5E">
        <w:rPr>
          <w:rFonts w:cs="Arial"/>
          <w:sz w:val="22"/>
          <w:szCs w:val="22"/>
        </w:rPr>
        <w:t xml:space="preserve"> Adjustments Budget</w:t>
      </w:r>
      <w:r w:rsidRPr="00667C6A">
        <w:rPr>
          <w:rFonts w:cs="Arial"/>
          <w:sz w:val="22"/>
          <w:szCs w:val="22"/>
        </w:rPr>
        <w:t xml:space="preserve"> </w:t>
      </w:r>
      <w:r w:rsidRPr="00DE2254">
        <w:rPr>
          <w:rFonts w:cs="Arial"/>
          <w:sz w:val="22"/>
          <w:szCs w:val="22"/>
        </w:rPr>
        <w:t xml:space="preserve">to </w:t>
      </w:r>
      <w:r w:rsidR="00A63D5E">
        <w:rPr>
          <w:rFonts w:cs="Arial"/>
          <w:sz w:val="22"/>
          <w:szCs w:val="22"/>
        </w:rPr>
        <w:t>1.3</w:t>
      </w:r>
      <w:r w:rsidRPr="00DE2254">
        <w:rPr>
          <w:rFonts w:cs="Arial"/>
          <w:sz w:val="22"/>
          <w:szCs w:val="22"/>
        </w:rPr>
        <w:t xml:space="preserve"> percent</w:t>
      </w:r>
      <w:r w:rsidR="00DE0CF8">
        <w:rPr>
          <w:rFonts w:cs="Arial"/>
          <w:sz w:val="22"/>
          <w:szCs w:val="22"/>
        </w:rPr>
        <w:t xml:space="preserve"> in 2020/21</w:t>
      </w:r>
      <w:r w:rsidR="00AC181C" w:rsidRPr="00667C6A">
        <w:rPr>
          <w:rFonts w:cs="Arial"/>
          <w:sz w:val="22"/>
          <w:szCs w:val="22"/>
        </w:rPr>
        <w:t>.</w:t>
      </w:r>
      <w:r w:rsidR="00DE0CF8">
        <w:rPr>
          <w:rFonts w:cs="Arial"/>
          <w:sz w:val="22"/>
          <w:szCs w:val="22"/>
        </w:rPr>
        <w:t xml:space="preserve"> This subsequent year increase </w:t>
      </w:r>
      <w:r w:rsidRPr="00667C6A">
        <w:rPr>
          <w:rFonts w:cs="Arial"/>
          <w:sz w:val="22"/>
          <w:szCs w:val="22"/>
        </w:rPr>
        <w:t xml:space="preserve">can </w:t>
      </w:r>
      <w:r w:rsidR="00AC181C" w:rsidRPr="00667C6A">
        <w:rPr>
          <w:rFonts w:cs="Arial"/>
          <w:sz w:val="22"/>
          <w:szCs w:val="22"/>
        </w:rPr>
        <w:t>be attributed to t</w:t>
      </w:r>
      <w:r w:rsidR="00DE0CF8">
        <w:rPr>
          <w:rFonts w:cs="Arial"/>
          <w:sz w:val="22"/>
          <w:szCs w:val="22"/>
        </w:rPr>
        <w:t>he estimated front loading loan</w:t>
      </w:r>
      <w:r w:rsidR="00AC181C" w:rsidRPr="00667C6A">
        <w:rPr>
          <w:rFonts w:cs="Arial"/>
          <w:sz w:val="22"/>
          <w:szCs w:val="22"/>
        </w:rPr>
        <w:t xml:space="preserve"> budgeted for</w:t>
      </w:r>
      <w:r w:rsidRPr="00667C6A">
        <w:rPr>
          <w:rFonts w:cs="Arial"/>
          <w:sz w:val="22"/>
          <w:szCs w:val="22"/>
        </w:rPr>
        <w:t>. While borrowing is considered a prudent financial instrument in financing capital infrastructure development, this indicator will have to be carefully monitored going forward as the Municipality will eventually reach its prudential borrowing limits.</w:t>
      </w:r>
    </w:p>
    <w:p w:rsidR="00AC334D" w:rsidRPr="00667C6A" w:rsidRDefault="00AC334D" w:rsidP="00AC334D">
      <w:pPr>
        <w:spacing w:line="276" w:lineRule="auto"/>
        <w:ind w:left="709"/>
        <w:jc w:val="both"/>
        <w:rPr>
          <w:rFonts w:cs="Arial"/>
          <w:sz w:val="22"/>
          <w:szCs w:val="22"/>
        </w:rPr>
      </w:pPr>
    </w:p>
    <w:p w:rsidR="00AC334D" w:rsidRPr="00667C6A" w:rsidRDefault="00AC334D" w:rsidP="00AC334D">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i/>
          <w:sz w:val="22"/>
          <w:szCs w:val="22"/>
        </w:rPr>
        <w:t>Borrowing funding of own capital expenditure</w:t>
      </w:r>
      <w:r w:rsidRPr="00667C6A">
        <w:rPr>
          <w:rFonts w:cs="Arial"/>
          <w:sz w:val="22"/>
          <w:szCs w:val="22"/>
        </w:rPr>
        <w:t xml:space="preserve"> measures the degree to which own capital expenditure (excluding grants and contributions) has been funded by way of borrowing.</w:t>
      </w:r>
    </w:p>
    <w:p w:rsidR="00AC334D" w:rsidRPr="00667C6A" w:rsidRDefault="00AC334D" w:rsidP="00AC334D">
      <w:pPr>
        <w:pStyle w:val="ListParagraph"/>
        <w:autoSpaceDE w:val="0"/>
        <w:autoSpaceDN w:val="0"/>
        <w:adjustRightInd w:val="0"/>
        <w:spacing w:after="0"/>
        <w:ind w:left="360"/>
        <w:jc w:val="both"/>
        <w:rPr>
          <w:rFonts w:ascii="Arial" w:eastAsia="Times New Roman" w:hAnsi="Arial" w:cs="Arial"/>
          <w:lang w:val="en-GB"/>
        </w:rPr>
      </w:pPr>
    </w:p>
    <w:p w:rsidR="00AC334D" w:rsidRPr="00667C6A" w:rsidRDefault="00AC334D" w:rsidP="00AC334D">
      <w:pPr>
        <w:autoSpaceDE w:val="0"/>
        <w:autoSpaceDN w:val="0"/>
        <w:adjustRightInd w:val="0"/>
        <w:spacing w:line="276" w:lineRule="auto"/>
        <w:jc w:val="both"/>
        <w:rPr>
          <w:rFonts w:cs="Arial"/>
          <w:sz w:val="22"/>
          <w:szCs w:val="22"/>
          <w:lang w:val="en-GB"/>
        </w:rPr>
      </w:pPr>
      <w:r w:rsidRPr="00667C6A">
        <w:rPr>
          <w:rFonts w:cs="Arial"/>
          <w:sz w:val="22"/>
          <w:szCs w:val="22"/>
          <w:lang w:val="en-GB"/>
        </w:rPr>
        <w:t>The Municipality’s debt profile provides some interesting insights on the Municipality’s future borrowing capacity.  Firstly, the use of amortising loans leads to high debt service costs at the beginning of the loan, which declines steadily towards the end of the loan’s term.</w:t>
      </w:r>
    </w:p>
    <w:p w:rsidR="00AC334D" w:rsidRPr="00667C6A" w:rsidRDefault="00AC334D" w:rsidP="00AC334D">
      <w:pPr>
        <w:pStyle w:val="Heading4"/>
        <w:numPr>
          <w:ilvl w:val="3"/>
          <w:numId w:val="9"/>
        </w:numPr>
        <w:ind w:left="709"/>
        <w:jc w:val="both"/>
        <w:rPr>
          <w:rFonts w:ascii="Arial" w:hAnsi="Arial" w:cs="Arial"/>
          <w:b w:val="0"/>
          <w:color w:val="auto"/>
          <w:lang w:val="en-GB"/>
        </w:rPr>
      </w:pPr>
      <w:r w:rsidRPr="00667C6A">
        <w:rPr>
          <w:rFonts w:ascii="Arial" w:hAnsi="Arial" w:cs="Arial"/>
          <w:b w:val="0"/>
          <w:color w:val="auto"/>
          <w:lang w:val="en-GB"/>
        </w:rPr>
        <w:t>Safety of Capital</w:t>
      </w:r>
    </w:p>
    <w:p w:rsidR="00AC334D" w:rsidRPr="00667C6A" w:rsidRDefault="00AC334D" w:rsidP="00AC334D">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i/>
          <w:sz w:val="22"/>
          <w:szCs w:val="22"/>
        </w:rPr>
        <w:t>The gearing ratio</w:t>
      </w:r>
      <w:r w:rsidRPr="00667C6A">
        <w:rPr>
          <w:rFonts w:cs="Arial"/>
          <w:sz w:val="22"/>
          <w:szCs w:val="22"/>
        </w:rPr>
        <w:t xml:space="preserve"> is a measure of the total long term borrowings over funds and reserves. </w:t>
      </w:r>
      <w:r w:rsidR="00F60A85" w:rsidRPr="00667C6A">
        <w:rPr>
          <w:rFonts w:cs="Arial"/>
          <w:sz w:val="22"/>
          <w:szCs w:val="22"/>
        </w:rPr>
        <w:t>The ratio has been consistent at 0.</w:t>
      </w:r>
      <w:r w:rsidR="00AC181C" w:rsidRPr="00667C6A">
        <w:rPr>
          <w:rFonts w:cs="Arial"/>
          <w:sz w:val="22"/>
          <w:szCs w:val="22"/>
        </w:rPr>
        <w:t>0</w:t>
      </w:r>
      <w:r w:rsidR="00F60A85" w:rsidRPr="00667C6A">
        <w:rPr>
          <w:rFonts w:cs="Arial"/>
          <w:sz w:val="22"/>
          <w:szCs w:val="22"/>
        </w:rPr>
        <w:t>4 percent</w:t>
      </w:r>
      <w:r w:rsidRPr="00667C6A">
        <w:rPr>
          <w:rFonts w:cs="Arial"/>
          <w:sz w:val="22"/>
          <w:szCs w:val="22"/>
        </w:rPr>
        <w:t>.</w:t>
      </w:r>
    </w:p>
    <w:p w:rsidR="00AC334D" w:rsidRPr="00667C6A" w:rsidRDefault="00AC334D" w:rsidP="00AC334D">
      <w:pPr>
        <w:pStyle w:val="Heading4"/>
        <w:numPr>
          <w:ilvl w:val="3"/>
          <w:numId w:val="9"/>
        </w:numPr>
        <w:rPr>
          <w:rFonts w:ascii="Arial" w:hAnsi="Arial" w:cs="Arial"/>
          <w:b w:val="0"/>
          <w:color w:val="auto"/>
          <w:lang w:val="en-GB"/>
        </w:rPr>
      </w:pPr>
      <w:r w:rsidRPr="00667C6A">
        <w:rPr>
          <w:rFonts w:ascii="Arial" w:hAnsi="Arial" w:cs="Arial"/>
          <w:b w:val="0"/>
          <w:color w:val="auto"/>
          <w:lang w:val="en-GB"/>
        </w:rPr>
        <w:t>Liquidity</w:t>
      </w:r>
    </w:p>
    <w:p w:rsidR="00AC334D" w:rsidRPr="00667C6A" w:rsidRDefault="00AC334D" w:rsidP="00AC334D">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i/>
          <w:sz w:val="22"/>
          <w:szCs w:val="22"/>
        </w:rPr>
        <w:t>Current ratio</w:t>
      </w:r>
      <w:r w:rsidRPr="00667C6A">
        <w:rPr>
          <w:rFonts w:cs="Arial"/>
          <w:sz w:val="22"/>
          <w:szCs w:val="22"/>
        </w:rPr>
        <w:t xml:space="preserve"> is a measure of the cu</w:t>
      </w:r>
      <w:r w:rsidRPr="00DE2254">
        <w:rPr>
          <w:rFonts w:cs="Arial"/>
          <w:sz w:val="22"/>
          <w:szCs w:val="22"/>
        </w:rPr>
        <w:t>rrent assets divided by the current liabilities and as a benchmark the Municipality has set a limit of 1, hence at no point in time should this ra</w:t>
      </w:r>
      <w:r w:rsidR="000050F8" w:rsidRPr="00DE2254">
        <w:rPr>
          <w:rFonts w:cs="Arial"/>
          <w:sz w:val="22"/>
          <w:szCs w:val="22"/>
        </w:rPr>
        <w:t xml:space="preserve">tio be less than 1. For the </w:t>
      </w:r>
      <w:r w:rsidR="00A63D5E">
        <w:rPr>
          <w:rFonts w:cs="Arial"/>
          <w:sz w:val="22"/>
          <w:szCs w:val="22"/>
        </w:rPr>
        <w:t>2020/21</w:t>
      </w:r>
      <w:r w:rsidRPr="00DE2254">
        <w:rPr>
          <w:rFonts w:cs="Arial"/>
          <w:sz w:val="22"/>
          <w:szCs w:val="22"/>
        </w:rPr>
        <w:t xml:space="preserve"> MTREF the current ratio is </w:t>
      </w:r>
      <w:r w:rsidR="00DE0CF8">
        <w:rPr>
          <w:rFonts w:cs="Arial"/>
          <w:sz w:val="22"/>
          <w:szCs w:val="22"/>
        </w:rPr>
        <w:t>2</w:t>
      </w:r>
      <w:r w:rsidR="00F60A85" w:rsidRPr="00DE2254">
        <w:rPr>
          <w:rFonts w:cs="Arial"/>
          <w:sz w:val="22"/>
          <w:szCs w:val="22"/>
        </w:rPr>
        <w:t>:1</w:t>
      </w:r>
      <w:r w:rsidR="00AC181C" w:rsidRPr="00DE2254">
        <w:rPr>
          <w:rFonts w:cs="Arial"/>
          <w:sz w:val="22"/>
          <w:szCs w:val="22"/>
        </w:rPr>
        <w:t>. The</w:t>
      </w:r>
      <w:r w:rsidR="00AC181C" w:rsidRPr="00667C6A">
        <w:rPr>
          <w:rFonts w:cs="Arial"/>
          <w:sz w:val="22"/>
          <w:szCs w:val="22"/>
        </w:rPr>
        <w:t xml:space="preserve"> estimated levels are better than industry norms.</w:t>
      </w:r>
    </w:p>
    <w:p w:rsidR="00AC334D" w:rsidRPr="00667C6A" w:rsidRDefault="00AC334D" w:rsidP="00AC334D">
      <w:pPr>
        <w:spacing w:line="276" w:lineRule="auto"/>
        <w:ind w:left="709"/>
        <w:jc w:val="both"/>
        <w:rPr>
          <w:rFonts w:cs="Arial"/>
          <w:sz w:val="22"/>
          <w:szCs w:val="22"/>
        </w:rPr>
      </w:pPr>
    </w:p>
    <w:p w:rsidR="00AC334D" w:rsidRPr="00667C6A" w:rsidRDefault="00AC334D" w:rsidP="00AC334D">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i/>
          <w:sz w:val="22"/>
          <w:szCs w:val="22"/>
        </w:rPr>
        <w:t>The liquidity ratio</w:t>
      </w:r>
      <w:r w:rsidRPr="00667C6A">
        <w:rPr>
          <w:rFonts w:cs="Arial"/>
          <w:sz w:val="22"/>
          <w:szCs w:val="22"/>
        </w:rPr>
        <w:t xml:space="preserve"> is a measure of the ability of the municipality to utilize cash and cash equivalents to extinguish or retire its current liabilities immediately. Ideally the municipality should have the equivalent cash and cash equivalents on hand to meet at least the current liabilities, which should translate into a liquidity ratio of 1. Anything below 1 indicates a shortage in cash to meet creditor obligations. A negative liquidity ratio needs to be considered a pertinent risk for the municipality as any under collection of revenue will translate into serious financial challenges for the Municipality. As part of the longer term financial planning objectives this ratio will always have to be set at a minimum of 1</w:t>
      </w:r>
      <w:r w:rsidR="00834D42" w:rsidRPr="00667C6A">
        <w:rPr>
          <w:rFonts w:cs="Arial"/>
          <w:sz w:val="22"/>
          <w:szCs w:val="22"/>
        </w:rPr>
        <w:t xml:space="preserve"> which will be exceeded in the MTREF</w:t>
      </w:r>
      <w:r w:rsidRPr="00667C6A">
        <w:rPr>
          <w:rFonts w:cs="Arial"/>
          <w:sz w:val="22"/>
          <w:szCs w:val="22"/>
        </w:rPr>
        <w:t>.</w:t>
      </w:r>
    </w:p>
    <w:p w:rsidR="00AC334D" w:rsidRPr="00667C6A" w:rsidRDefault="00AC334D" w:rsidP="00AC334D">
      <w:pPr>
        <w:pStyle w:val="Heading4"/>
        <w:numPr>
          <w:ilvl w:val="3"/>
          <w:numId w:val="9"/>
        </w:numPr>
        <w:rPr>
          <w:rFonts w:ascii="Arial" w:hAnsi="Arial" w:cs="Arial"/>
          <w:b w:val="0"/>
          <w:color w:val="auto"/>
          <w:lang w:val="en-GB"/>
        </w:rPr>
      </w:pPr>
      <w:r w:rsidRPr="00667C6A">
        <w:rPr>
          <w:rFonts w:ascii="Arial" w:hAnsi="Arial" w:cs="Arial"/>
          <w:b w:val="0"/>
          <w:color w:val="auto"/>
          <w:lang w:val="en-GB"/>
        </w:rPr>
        <w:t>Other Indicators</w:t>
      </w:r>
    </w:p>
    <w:p w:rsidR="00AC334D" w:rsidRDefault="00AC334D" w:rsidP="00AC334D">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Employee costs as a percentag</w:t>
      </w:r>
      <w:r w:rsidR="0052622D">
        <w:rPr>
          <w:rFonts w:cs="Arial"/>
          <w:sz w:val="22"/>
          <w:szCs w:val="22"/>
        </w:rPr>
        <w:t>e of opera</w:t>
      </w:r>
      <w:r w:rsidR="00A63D5E">
        <w:rPr>
          <w:rFonts w:cs="Arial"/>
          <w:sz w:val="22"/>
          <w:szCs w:val="22"/>
        </w:rPr>
        <w:t>ting revenue increased from 34.9</w:t>
      </w:r>
      <w:r w:rsidR="0052622D">
        <w:rPr>
          <w:rFonts w:cs="Arial"/>
          <w:sz w:val="22"/>
          <w:szCs w:val="22"/>
        </w:rPr>
        <w:t xml:space="preserve"> percent during </w:t>
      </w:r>
      <w:r w:rsidR="00DE0CF8">
        <w:rPr>
          <w:rFonts w:cs="Arial"/>
          <w:sz w:val="22"/>
          <w:szCs w:val="22"/>
        </w:rPr>
        <w:t>the 2019/20</w:t>
      </w:r>
      <w:r w:rsidR="005358DD">
        <w:rPr>
          <w:rFonts w:cs="Arial"/>
          <w:sz w:val="22"/>
          <w:szCs w:val="22"/>
        </w:rPr>
        <w:t xml:space="preserve"> financial year </w:t>
      </w:r>
      <w:r w:rsidR="00A63D5E">
        <w:rPr>
          <w:rFonts w:cs="Arial"/>
          <w:sz w:val="22"/>
          <w:szCs w:val="22"/>
        </w:rPr>
        <w:t>to 39.5</w:t>
      </w:r>
      <w:r w:rsidR="00DE0CF8">
        <w:rPr>
          <w:rFonts w:cs="Arial"/>
          <w:sz w:val="22"/>
          <w:szCs w:val="22"/>
        </w:rPr>
        <w:t xml:space="preserve"> percent in the 2020/21</w:t>
      </w:r>
      <w:r w:rsidR="0052622D">
        <w:rPr>
          <w:rFonts w:cs="Arial"/>
          <w:sz w:val="22"/>
          <w:szCs w:val="22"/>
        </w:rPr>
        <w:t xml:space="preserve"> financial year and increases steadily </w:t>
      </w:r>
      <w:r w:rsidRPr="00667C6A">
        <w:rPr>
          <w:rFonts w:cs="Arial"/>
          <w:sz w:val="22"/>
          <w:szCs w:val="22"/>
        </w:rPr>
        <w:t xml:space="preserve">over the MTREF. </w:t>
      </w:r>
    </w:p>
    <w:p w:rsidR="00AC334D" w:rsidRPr="00667C6A" w:rsidRDefault="00AC334D" w:rsidP="00AC334D">
      <w:pPr>
        <w:pStyle w:val="Heading3"/>
        <w:keepLines/>
        <w:numPr>
          <w:ilvl w:val="2"/>
          <w:numId w:val="9"/>
        </w:numPr>
        <w:spacing w:before="200" w:after="0" w:line="276" w:lineRule="auto"/>
        <w:rPr>
          <w:rFonts w:ascii="Arial" w:hAnsi="Arial" w:cs="Arial"/>
          <w:sz w:val="22"/>
          <w:szCs w:val="22"/>
          <w:lang w:val="en-GB"/>
        </w:rPr>
      </w:pPr>
      <w:bookmarkStart w:id="142" w:name="_Toc286034110"/>
      <w:bookmarkStart w:id="143" w:name="_Toc286034701"/>
      <w:bookmarkStart w:id="144" w:name="_Toc287797057"/>
      <w:r w:rsidRPr="00667C6A">
        <w:rPr>
          <w:rFonts w:ascii="Arial" w:hAnsi="Arial" w:cs="Arial"/>
          <w:sz w:val="22"/>
          <w:szCs w:val="22"/>
          <w:lang w:val="en-GB"/>
        </w:rPr>
        <w:lastRenderedPageBreak/>
        <w:t>Free Basic Services: basic social services package for indigent households</w:t>
      </w:r>
      <w:bookmarkEnd w:id="142"/>
      <w:bookmarkEnd w:id="143"/>
      <w:bookmarkEnd w:id="144"/>
    </w:p>
    <w:p w:rsidR="00AC334D" w:rsidRPr="00667C6A" w:rsidRDefault="00AC334D" w:rsidP="00AC334D">
      <w:pPr>
        <w:autoSpaceDE w:val="0"/>
        <w:autoSpaceDN w:val="0"/>
        <w:adjustRightInd w:val="0"/>
        <w:spacing w:line="276" w:lineRule="auto"/>
        <w:rPr>
          <w:rFonts w:cs="Arial"/>
          <w:b/>
          <w:sz w:val="22"/>
          <w:szCs w:val="22"/>
          <w:lang w:val="en-GB"/>
        </w:rPr>
      </w:pPr>
    </w:p>
    <w:p w:rsidR="00AC334D" w:rsidRPr="00667C6A" w:rsidRDefault="00AC334D" w:rsidP="00AC334D">
      <w:pPr>
        <w:spacing w:line="276" w:lineRule="auto"/>
        <w:jc w:val="both"/>
        <w:rPr>
          <w:rFonts w:cs="Arial"/>
          <w:sz w:val="22"/>
          <w:szCs w:val="22"/>
          <w:lang w:val="en-GB"/>
        </w:rPr>
      </w:pPr>
      <w:r w:rsidRPr="00667C6A">
        <w:rPr>
          <w:rFonts w:cs="Arial"/>
          <w:sz w:val="22"/>
          <w:szCs w:val="22"/>
          <w:lang w:val="en-GB"/>
        </w:rPr>
        <w:t>The social package assists residents that have difficulty paying for services and are registered as indigent households in terms of the Indigent Policy of the Municipality. Only registered indigents qualify for the free basic services.</w:t>
      </w:r>
    </w:p>
    <w:p w:rsidR="00C846B3" w:rsidRPr="00667C6A" w:rsidRDefault="00C846B3" w:rsidP="00AC334D">
      <w:pPr>
        <w:spacing w:line="276" w:lineRule="auto"/>
        <w:jc w:val="both"/>
        <w:rPr>
          <w:rFonts w:cs="Arial"/>
          <w:sz w:val="22"/>
          <w:szCs w:val="22"/>
          <w:lang w:val="en-GB"/>
        </w:rPr>
      </w:pPr>
    </w:p>
    <w:p w:rsidR="00AC334D" w:rsidRPr="00667C6A" w:rsidRDefault="00AC334D" w:rsidP="00AC334D">
      <w:pPr>
        <w:spacing w:line="276" w:lineRule="auto"/>
        <w:jc w:val="both"/>
        <w:rPr>
          <w:rFonts w:cs="Arial"/>
          <w:sz w:val="22"/>
          <w:szCs w:val="22"/>
        </w:rPr>
      </w:pPr>
      <w:r w:rsidRPr="00667C6A">
        <w:rPr>
          <w:rFonts w:cs="Arial"/>
          <w:sz w:val="22"/>
          <w:szCs w:val="22"/>
        </w:rPr>
        <w:t>A summary of the free basic services package is set out below:</w:t>
      </w:r>
    </w:p>
    <w:p w:rsidR="00AC334D" w:rsidRPr="00667C6A" w:rsidRDefault="00AC334D" w:rsidP="00AC334D">
      <w:pPr>
        <w:spacing w:line="276" w:lineRule="auto"/>
        <w:jc w:val="both"/>
        <w:rPr>
          <w:rFonts w:cs="Arial"/>
          <w:sz w:val="22"/>
          <w:szCs w:val="22"/>
        </w:rPr>
      </w:pPr>
    </w:p>
    <w:p w:rsidR="00AC334D" w:rsidRPr="00667C6A" w:rsidRDefault="00AC334D" w:rsidP="00AC334D">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 xml:space="preserve">All registered indigents, including consumers in the rural areas, will receive </w:t>
      </w:r>
      <w:r w:rsidR="00F60A85" w:rsidRPr="00667C6A">
        <w:rPr>
          <w:rFonts w:cs="Arial"/>
          <w:sz w:val="22"/>
          <w:szCs w:val="22"/>
        </w:rPr>
        <w:t>6 kl</w:t>
      </w:r>
      <w:r w:rsidRPr="00667C6A">
        <w:rPr>
          <w:rFonts w:cs="Arial"/>
          <w:sz w:val="22"/>
          <w:szCs w:val="22"/>
        </w:rPr>
        <w:t xml:space="preserve"> of </w:t>
      </w:r>
      <w:r w:rsidR="00F60A85" w:rsidRPr="00667C6A">
        <w:rPr>
          <w:rFonts w:cs="Arial"/>
          <w:sz w:val="22"/>
          <w:szCs w:val="22"/>
        </w:rPr>
        <w:t>water</w:t>
      </w:r>
      <w:r w:rsidRPr="00667C6A">
        <w:rPr>
          <w:rFonts w:cs="Arial"/>
          <w:sz w:val="22"/>
          <w:szCs w:val="22"/>
        </w:rPr>
        <w:t xml:space="preserve"> per month fully subsidised.</w:t>
      </w:r>
    </w:p>
    <w:p w:rsidR="00C846B3" w:rsidRPr="00667C6A" w:rsidRDefault="00C846B3" w:rsidP="00AC334D">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667C6A">
        <w:rPr>
          <w:rFonts w:cs="Arial"/>
          <w:sz w:val="22"/>
          <w:szCs w:val="22"/>
        </w:rPr>
        <w:t>All registered indigents, including consumers in the rural areas, will only be charged a flat rate for Water and Sanitation consumption and not a step tariff.</w:t>
      </w:r>
    </w:p>
    <w:p w:rsidR="00AC334D" w:rsidRPr="00667C6A" w:rsidRDefault="00AC334D" w:rsidP="00AC334D">
      <w:pPr>
        <w:spacing w:line="276" w:lineRule="auto"/>
        <w:jc w:val="both"/>
        <w:rPr>
          <w:rFonts w:cs="Arial"/>
          <w:sz w:val="22"/>
          <w:szCs w:val="22"/>
        </w:rPr>
      </w:pPr>
    </w:p>
    <w:p w:rsidR="00AC334D" w:rsidRPr="00667C6A" w:rsidRDefault="00AC334D" w:rsidP="00AC334D">
      <w:pPr>
        <w:spacing w:line="276" w:lineRule="auto"/>
        <w:jc w:val="both"/>
        <w:rPr>
          <w:rFonts w:cs="Arial"/>
          <w:sz w:val="22"/>
          <w:szCs w:val="22"/>
        </w:rPr>
      </w:pPr>
      <w:r w:rsidRPr="00667C6A">
        <w:rPr>
          <w:rFonts w:cs="Arial"/>
          <w:sz w:val="22"/>
          <w:szCs w:val="22"/>
        </w:rPr>
        <w:t>The cost of the social package of the registered indigent households is largely financed by national government through the local government equitable share received in terms of the annual Division of Revenue Act.</w:t>
      </w:r>
    </w:p>
    <w:p w:rsidR="008657A4" w:rsidRDefault="008657A4" w:rsidP="00AC334D">
      <w:pPr>
        <w:spacing w:line="276" w:lineRule="auto"/>
        <w:jc w:val="both"/>
        <w:rPr>
          <w:rFonts w:cs="Arial"/>
          <w:sz w:val="20"/>
          <w:szCs w:val="20"/>
        </w:rPr>
      </w:pPr>
    </w:p>
    <w:p w:rsidR="008657A4" w:rsidRPr="008657A4" w:rsidRDefault="008657A4" w:rsidP="008657A4">
      <w:pPr>
        <w:pStyle w:val="Heading2"/>
        <w:numPr>
          <w:ilvl w:val="1"/>
          <w:numId w:val="9"/>
        </w:numPr>
        <w:ind w:left="567" w:hanging="576"/>
        <w:rPr>
          <w:color w:val="984806"/>
        </w:rPr>
      </w:pPr>
      <w:bookmarkStart w:id="145" w:name="_Toc286034112"/>
      <w:bookmarkStart w:id="146" w:name="_Toc286034703"/>
      <w:bookmarkStart w:id="147" w:name="_Toc286041442"/>
      <w:bookmarkStart w:id="148" w:name="_Toc286041511"/>
      <w:bookmarkStart w:id="149" w:name="_Toc286117322"/>
      <w:bookmarkStart w:id="150" w:name="_Toc287342533"/>
      <w:bookmarkStart w:id="151" w:name="_Toc287797059"/>
      <w:bookmarkStart w:id="152" w:name="_Toc287825509"/>
      <w:bookmarkStart w:id="153" w:name="_Toc356917076"/>
      <w:bookmarkStart w:id="154" w:name="_Toc3962573"/>
      <w:r w:rsidRPr="008657A4">
        <w:rPr>
          <w:color w:val="984806"/>
        </w:rPr>
        <w:t>Overview of budget related-policies</w:t>
      </w:r>
      <w:bookmarkEnd w:id="145"/>
      <w:bookmarkEnd w:id="146"/>
      <w:bookmarkEnd w:id="147"/>
      <w:bookmarkEnd w:id="148"/>
      <w:bookmarkEnd w:id="149"/>
      <w:bookmarkEnd w:id="150"/>
      <w:bookmarkEnd w:id="151"/>
      <w:bookmarkEnd w:id="152"/>
      <w:bookmarkEnd w:id="153"/>
      <w:bookmarkEnd w:id="154"/>
    </w:p>
    <w:p w:rsidR="008657A4" w:rsidRPr="00C46AC9" w:rsidRDefault="008657A4" w:rsidP="008657A4">
      <w:pPr>
        <w:autoSpaceDE w:val="0"/>
        <w:autoSpaceDN w:val="0"/>
        <w:adjustRightInd w:val="0"/>
        <w:spacing w:line="276" w:lineRule="auto"/>
        <w:jc w:val="both"/>
        <w:rPr>
          <w:rFonts w:cs="Arial"/>
          <w:sz w:val="20"/>
          <w:szCs w:val="20"/>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The Municipality’s budgeting process is guided and governed by relevant legislation, frameworks, strategies and related policies.</w:t>
      </w:r>
    </w:p>
    <w:p w:rsidR="008657A4" w:rsidRPr="00667C6A" w:rsidRDefault="008657A4" w:rsidP="00BE466A">
      <w:pPr>
        <w:pStyle w:val="Heading3"/>
        <w:keepLines/>
        <w:numPr>
          <w:ilvl w:val="2"/>
          <w:numId w:val="9"/>
        </w:numPr>
        <w:spacing w:before="200" w:after="0" w:line="276" w:lineRule="auto"/>
        <w:rPr>
          <w:rFonts w:ascii="Arial" w:hAnsi="Arial" w:cs="Arial"/>
          <w:sz w:val="22"/>
          <w:szCs w:val="22"/>
          <w:lang w:val="en-GB"/>
        </w:rPr>
      </w:pPr>
      <w:bookmarkStart w:id="155" w:name="_Toc286034113"/>
      <w:bookmarkStart w:id="156" w:name="_Toc286034704"/>
      <w:bookmarkStart w:id="157" w:name="_Toc287797060"/>
      <w:r w:rsidRPr="00667C6A">
        <w:rPr>
          <w:rFonts w:ascii="Arial" w:hAnsi="Arial" w:cs="Arial"/>
          <w:sz w:val="22"/>
          <w:szCs w:val="22"/>
          <w:lang w:val="en-GB"/>
        </w:rPr>
        <w:t>Review of credit control and debt collection procedures/policies</w:t>
      </w:r>
      <w:bookmarkEnd w:id="155"/>
      <w:bookmarkEnd w:id="156"/>
      <w:bookmarkEnd w:id="157"/>
    </w:p>
    <w:p w:rsidR="008657A4" w:rsidRPr="00667C6A" w:rsidRDefault="008657A4" w:rsidP="008657A4">
      <w:pPr>
        <w:autoSpaceDE w:val="0"/>
        <w:autoSpaceDN w:val="0"/>
        <w:adjustRightInd w:val="0"/>
        <w:spacing w:line="276" w:lineRule="auto"/>
        <w:jc w:val="both"/>
        <w:rPr>
          <w:rFonts w:cs="Arial"/>
          <w:sz w:val="22"/>
          <w:szCs w:val="22"/>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The Credit Control and Debt Collection Policy </w:t>
      </w:r>
      <w:r w:rsidR="004C24E7" w:rsidRPr="00667C6A">
        <w:rPr>
          <w:rFonts w:cs="Arial"/>
          <w:sz w:val="22"/>
          <w:szCs w:val="22"/>
          <w:lang w:val="en-GB"/>
        </w:rPr>
        <w:t>h</w:t>
      </w:r>
      <w:r w:rsidRPr="00667C6A">
        <w:rPr>
          <w:rFonts w:cs="Arial"/>
          <w:sz w:val="22"/>
          <w:szCs w:val="22"/>
          <w:lang w:val="en-GB"/>
        </w:rPr>
        <w:t>as</w:t>
      </w:r>
      <w:r w:rsidR="0075745A">
        <w:rPr>
          <w:rFonts w:cs="Arial"/>
          <w:sz w:val="22"/>
          <w:szCs w:val="22"/>
          <w:lang w:val="en-GB"/>
        </w:rPr>
        <w:t xml:space="preserve"> </w:t>
      </w:r>
      <w:r w:rsidR="004C24E7" w:rsidRPr="00667C6A">
        <w:rPr>
          <w:rFonts w:cs="Arial"/>
          <w:sz w:val="22"/>
          <w:szCs w:val="22"/>
          <w:lang w:val="en-GB"/>
        </w:rPr>
        <w:t xml:space="preserve">been </w:t>
      </w:r>
      <w:r w:rsidRPr="00667C6A">
        <w:rPr>
          <w:rFonts w:cs="Arial"/>
          <w:sz w:val="22"/>
          <w:szCs w:val="22"/>
          <w:lang w:val="en-GB"/>
        </w:rPr>
        <w:t>approved by Council in May 2012.  While the adopted policy is credible, sustainable, manageable and informed by affordability and value for money there has been a need to review certain components to achieve a higher collection rate. Some of the possible revisions will include the increasing of the credit periods for the down payment of debt. In addition emphasis will be placed on latest legislation changes and court rulings to ensure that credit control and debt collection efforts are not fruitlessly wasted on these debtors.</w:t>
      </w:r>
    </w:p>
    <w:p w:rsidR="008657A4" w:rsidRPr="00667C6A" w:rsidRDefault="008657A4" w:rsidP="008657A4">
      <w:pPr>
        <w:autoSpaceDE w:val="0"/>
        <w:autoSpaceDN w:val="0"/>
        <w:adjustRightInd w:val="0"/>
        <w:spacing w:line="276" w:lineRule="auto"/>
        <w:jc w:val="both"/>
        <w:rPr>
          <w:rFonts w:cs="Arial"/>
          <w:sz w:val="22"/>
          <w:szCs w:val="22"/>
          <w:lang w:val="en-GB"/>
        </w:rPr>
      </w:pPr>
    </w:p>
    <w:p w:rsidR="008657A4" w:rsidRPr="00667C6A" w:rsidRDefault="00DE0CF8" w:rsidP="008657A4">
      <w:pPr>
        <w:autoSpaceDE w:val="0"/>
        <w:autoSpaceDN w:val="0"/>
        <w:adjustRightInd w:val="0"/>
        <w:spacing w:line="276" w:lineRule="auto"/>
        <w:jc w:val="both"/>
        <w:rPr>
          <w:rFonts w:cs="Arial"/>
          <w:sz w:val="22"/>
          <w:szCs w:val="22"/>
          <w:lang w:val="en-GB"/>
        </w:rPr>
      </w:pPr>
      <w:r>
        <w:rPr>
          <w:rFonts w:cs="Arial"/>
          <w:sz w:val="22"/>
          <w:szCs w:val="22"/>
          <w:lang w:val="en-GB"/>
        </w:rPr>
        <w:t>The 2020/21</w:t>
      </w:r>
      <w:r w:rsidR="008657A4" w:rsidRPr="00667C6A">
        <w:rPr>
          <w:rFonts w:cs="Arial"/>
          <w:sz w:val="22"/>
          <w:szCs w:val="22"/>
          <w:lang w:val="en-GB"/>
        </w:rPr>
        <w:t xml:space="preserve"> MTREF has been prepared on the basis of achieving an average debtors’ collection rate </w:t>
      </w:r>
      <w:r w:rsidR="008657A4" w:rsidRPr="00DE2254">
        <w:rPr>
          <w:rFonts w:cs="Arial"/>
          <w:sz w:val="22"/>
          <w:szCs w:val="22"/>
          <w:lang w:val="en-GB"/>
        </w:rPr>
        <w:t xml:space="preserve">of </w:t>
      </w:r>
      <w:r w:rsidR="00A63D5E">
        <w:rPr>
          <w:rFonts w:cs="Arial"/>
          <w:sz w:val="22"/>
          <w:szCs w:val="22"/>
          <w:lang w:val="en-GB"/>
        </w:rPr>
        <w:t>40</w:t>
      </w:r>
      <w:r w:rsidR="008657A4" w:rsidRPr="00DE2254">
        <w:rPr>
          <w:rFonts w:cs="Arial"/>
          <w:sz w:val="22"/>
          <w:szCs w:val="22"/>
          <w:lang w:val="en-GB"/>
        </w:rPr>
        <w:t> percent on current billings</w:t>
      </w:r>
      <w:r w:rsidR="005358DD" w:rsidRPr="00DE2254">
        <w:rPr>
          <w:rFonts w:cs="Arial"/>
          <w:sz w:val="22"/>
          <w:szCs w:val="22"/>
          <w:lang w:val="en-GB"/>
        </w:rPr>
        <w:t xml:space="preserve"> (30 percent on conventional consumers and 100 percent on pre-paid consumers)</w:t>
      </w:r>
      <w:r w:rsidR="008657A4" w:rsidRPr="00DE2254">
        <w:rPr>
          <w:rFonts w:cs="Arial"/>
          <w:sz w:val="22"/>
          <w:szCs w:val="22"/>
          <w:lang w:val="en-GB"/>
        </w:rPr>
        <w:t>. In</w:t>
      </w:r>
      <w:r w:rsidR="008657A4" w:rsidRPr="00667C6A">
        <w:rPr>
          <w:rFonts w:cs="Arial"/>
          <w:sz w:val="22"/>
          <w:szCs w:val="22"/>
          <w:lang w:val="en-GB"/>
        </w:rPr>
        <w:t xml:space="preserve"> addition, the collection of debt in excess of 90 days has been prioritised as a pertinent strategy in increasing the Municipality’s cash leve</w:t>
      </w:r>
      <w:r w:rsidR="0075745A">
        <w:rPr>
          <w:rFonts w:cs="Arial"/>
          <w:sz w:val="22"/>
          <w:szCs w:val="22"/>
          <w:lang w:val="en-GB"/>
        </w:rPr>
        <w:t xml:space="preserve">ls. </w:t>
      </w:r>
    </w:p>
    <w:p w:rsidR="008657A4" w:rsidRPr="00667C6A" w:rsidRDefault="008657A4" w:rsidP="00BE466A">
      <w:pPr>
        <w:pStyle w:val="Heading3"/>
        <w:keepLines/>
        <w:numPr>
          <w:ilvl w:val="2"/>
          <w:numId w:val="9"/>
        </w:numPr>
        <w:spacing w:before="200" w:after="0" w:line="276" w:lineRule="auto"/>
        <w:rPr>
          <w:rFonts w:ascii="Arial" w:hAnsi="Arial" w:cs="Arial"/>
          <w:sz w:val="22"/>
          <w:szCs w:val="22"/>
          <w:lang w:val="en-GB"/>
        </w:rPr>
      </w:pPr>
      <w:bookmarkStart w:id="158" w:name="_Toc286034114"/>
      <w:bookmarkStart w:id="159" w:name="_Toc286034705"/>
      <w:bookmarkStart w:id="160" w:name="_Toc287797061"/>
      <w:r w:rsidRPr="00667C6A">
        <w:rPr>
          <w:rFonts w:ascii="Arial" w:hAnsi="Arial" w:cs="Arial"/>
          <w:sz w:val="22"/>
          <w:szCs w:val="22"/>
          <w:lang w:val="en-GB"/>
        </w:rPr>
        <w:t>Asset Management, Infrastructure Investment and Funding Policy</w:t>
      </w:r>
      <w:bookmarkEnd w:id="158"/>
      <w:bookmarkEnd w:id="159"/>
      <w:bookmarkEnd w:id="160"/>
    </w:p>
    <w:p w:rsidR="008657A4" w:rsidRPr="00667C6A" w:rsidRDefault="008657A4" w:rsidP="008657A4">
      <w:pPr>
        <w:autoSpaceDE w:val="0"/>
        <w:autoSpaceDN w:val="0"/>
        <w:adjustRightInd w:val="0"/>
        <w:spacing w:line="276" w:lineRule="auto"/>
        <w:jc w:val="both"/>
        <w:rPr>
          <w:rFonts w:cs="Arial"/>
          <w:b/>
          <w:sz w:val="22"/>
          <w:szCs w:val="22"/>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A proxy for asset consumption can be considered the level of depreciation each asset incurs on an annual basis.  Preserving the investment in existing infrastructure needs to be considered a significant strategy in ensuring the future sustainability of infrastructure and the Municipality’s revenue base. </w:t>
      </w:r>
    </w:p>
    <w:p w:rsidR="008657A4" w:rsidRPr="00667C6A" w:rsidRDefault="008657A4" w:rsidP="008657A4">
      <w:pPr>
        <w:autoSpaceDE w:val="0"/>
        <w:autoSpaceDN w:val="0"/>
        <w:adjustRightInd w:val="0"/>
        <w:spacing w:line="276" w:lineRule="auto"/>
        <w:jc w:val="both"/>
        <w:rPr>
          <w:rFonts w:cs="Arial"/>
          <w:sz w:val="22"/>
          <w:szCs w:val="22"/>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Within the framework, the need for asset renewal was considered a priority and hence the capital programme was determined based on renewal of current assets versus new asset construction.</w:t>
      </w:r>
    </w:p>
    <w:p w:rsidR="008657A4" w:rsidRPr="00667C6A" w:rsidRDefault="008657A4" w:rsidP="008657A4">
      <w:pPr>
        <w:autoSpaceDE w:val="0"/>
        <w:autoSpaceDN w:val="0"/>
        <w:adjustRightInd w:val="0"/>
        <w:spacing w:line="276" w:lineRule="auto"/>
        <w:jc w:val="both"/>
        <w:rPr>
          <w:rFonts w:cs="Arial"/>
          <w:sz w:val="22"/>
          <w:szCs w:val="22"/>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Further, continued improvements in technology generally allows many assets to be renewed at a lesser ‘real’ cost than the original construction cost.  Therefore, it is considered prudent to allow for a slightly lesser continual level of annual renewal than the average annual depreciation. The Asset Management, Infrastructure and Funding Policy is therefore considered a strategic guide in </w:t>
      </w:r>
      <w:r w:rsidRPr="00667C6A">
        <w:rPr>
          <w:rFonts w:cs="Arial"/>
          <w:sz w:val="22"/>
          <w:szCs w:val="22"/>
          <w:lang w:val="en-GB"/>
        </w:rPr>
        <w:lastRenderedPageBreak/>
        <w:t>ensuring a sustainable approach to asset renewal, repairs and maintenance and is utilised as a guide to the selection and prioritisation of individual capital projects.  In addition the policy prescribes the accounting and administrative policies and procedures relating to property, plant and equipment (fixed assets).</w:t>
      </w:r>
    </w:p>
    <w:p w:rsidR="008657A4" w:rsidRPr="00667C6A" w:rsidRDefault="008657A4" w:rsidP="00BE466A">
      <w:pPr>
        <w:pStyle w:val="Heading3"/>
        <w:keepLines/>
        <w:numPr>
          <w:ilvl w:val="2"/>
          <w:numId w:val="9"/>
        </w:numPr>
        <w:spacing w:before="200" w:after="0" w:line="276" w:lineRule="auto"/>
        <w:rPr>
          <w:rFonts w:ascii="Arial" w:hAnsi="Arial" w:cs="Arial"/>
          <w:sz w:val="22"/>
          <w:szCs w:val="22"/>
          <w:lang w:val="en-GB"/>
        </w:rPr>
      </w:pPr>
      <w:bookmarkStart w:id="161" w:name="_Toc286034116"/>
      <w:bookmarkStart w:id="162" w:name="_Toc286034707"/>
      <w:bookmarkStart w:id="163" w:name="_Toc287797063"/>
      <w:r w:rsidRPr="00667C6A">
        <w:rPr>
          <w:rFonts w:ascii="Arial" w:hAnsi="Arial" w:cs="Arial"/>
          <w:sz w:val="22"/>
          <w:szCs w:val="22"/>
          <w:lang w:val="en-GB"/>
        </w:rPr>
        <w:t>Supply Chain Management Policy</w:t>
      </w:r>
      <w:bookmarkEnd w:id="161"/>
      <w:bookmarkEnd w:id="162"/>
      <w:bookmarkEnd w:id="163"/>
    </w:p>
    <w:p w:rsidR="008657A4" w:rsidRPr="00667C6A" w:rsidRDefault="008657A4" w:rsidP="008657A4">
      <w:pPr>
        <w:autoSpaceDE w:val="0"/>
        <w:autoSpaceDN w:val="0"/>
        <w:adjustRightInd w:val="0"/>
        <w:spacing w:line="276" w:lineRule="auto"/>
        <w:jc w:val="both"/>
        <w:rPr>
          <w:rFonts w:cs="Arial"/>
          <w:b/>
          <w:sz w:val="22"/>
          <w:szCs w:val="22"/>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No changes were made to the existing Supply Chain Management Policy.</w:t>
      </w:r>
    </w:p>
    <w:p w:rsidR="008657A4" w:rsidRPr="00667C6A" w:rsidRDefault="008657A4" w:rsidP="00BE466A">
      <w:pPr>
        <w:pStyle w:val="Heading3"/>
        <w:keepLines/>
        <w:numPr>
          <w:ilvl w:val="2"/>
          <w:numId w:val="9"/>
        </w:numPr>
        <w:spacing w:before="200" w:after="0" w:line="276" w:lineRule="auto"/>
        <w:rPr>
          <w:rFonts w:ascii="Arial" w:hAnsi="Arial" w:cs="Arial"/>
          <w:sz w:val="22"/>
          <w:szCs w:val="22"/>
          <w:lang w:val="en-GB"/>
        </w:rPr>
      </w:pPr>
      <w:bookmarkStart w:id="164" w:name="_Toc286034117"/>
      <w:bookmarkStart w:id="165" w:name="_Toc286034708"/>
      <w:bookmarkStart w:id="166" w:name="_Toc287797064"/>
      <w:r w:rsidRPr="00667C6A">
        <w:rPr>
          <w:rFonts w:ascii="Arial" w:hAnsi="Arial" w:cs="Arial"/>
          <w:sz w:val="22"/>
          <w:szCs w:val="22"/>
          <w:lang w:val="en-GB"/>
        </w:rPr>
        <w:t>Budget and Virement Policy</w:t>
      </w:r>
      <w:bookmarkEnd w:id="164"/>
      <w:bookmarkEnd w:id="165"/>
      <w:bookmarkEnd w:id="166"/>
    </w:p>
    <w:p w:rsidR="008657A4" w:rsidRPr="00667C6A" w:rsidRDefault="008657A4" w:rsidP="008657A4">
      <w:pPr>
        <w:autoSpaceDE w:val="0"/>
        <w:autoSpaceDN w:val="0"/>
        <w:adjustRightInd w:val="0"/>
        <w:spacing w:line="276" w:lineRule="auto"/>
        <w:jc w:val="both"/>
        <w:rPr>
          <w:rFonts w:cs="Arial"/>
          <w:sz w:val="22"/>
          <w:szCs w:val="22"/>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 xml:space="preserve">The Budget and Virement Policy aims to empower senior managers with an efficient financial and budgetary amendment and control system to ensure optimum service delivery within the legislative framework of the MFMA and the Municipality’s system of delegations. </w:t>
      </w:r>
      <w:r w:rsidR="00551D97" w:rsidRPr="00667C6A">
        <w:rPr>
          <w:rFonts w:cs="Arial"/>
          <w:sz w:val="22"/>
          <w:szCs w:val="22"/>
          <w:lang w:val="en-GB"/>
        </w:rPr>
        <w:t>W</w:t>
      </w:r>
      <w:r w:rsidR="00C846B3" w:rsidRPr="00667C6A">
        <w:rPr>
          <w:rFonts w:cs="Arial"/>
          <w:sz w:val="22"/>
          <w:szCs w:val="22"/>
          <w:lang w:val="en-GB"/>
        </w:rPr>
        <w:t>ith the implementation of mSCOA</w:t>
      </w:r>
      <w:r w:rsidR="00551D97" w:rsidRPr="00667C6A">
        <w:rPr>
          <w:rFonts w:cs="Arial"/>
          <w:sz w:val="22"/>
          <w:szCs w:val="22"/>
          <w:lang w:val="en-GB"/>
        </w:rPr>
        <w:t>, virements</w:t>
      </w:r>
      <w:r w:rsidR="005358DD">
        <w:rPr>
          <w:rFonts w:cs="Arial"/>
          <w:sz w:val="22"/>
          <w:szCs w:val="22"/>
          <w:lang w:val="en-GB"/>
        </w:rPr>
        <w:t xml:space="preserve"> </w:t>
      </w:r>
      <w:r w:rsidR="006F158E" w:rsidRPr="00667C6A">
        <w:rPr>
          <w:rFonts w:cs="Arial"/>
          <w:sz w:val="22"/>
          <w:szCs w:val="22"/>
          <w:lang w:val="en-GB"/>
        </w:rPr>
        <w:t xml:space="preserve">from repairs and maintenance to operating expenditure </w:t>
      </w:r>
      <w:r w:rsidR="00551D97" w:rsidRPr="00667C6A">
        <w:rPr>
          <w:rFonts w:cs="Arial"/>
          <w:sz w:val="22"/>
          <w:szCs w:val="22"/>
          <w:lang w:val="en-GB"/>
        </w:rPr>
        <w:t xml:space="preserve">will not be possible. </w:t>
      </w:r>
      <w:r w:rsidR="006F158E" w:rsidRPr="00667C6A">
        <w:rPr>
          <w:rFonts w:cs="Arial"/>
          <w:sz w:val="22"/>
          <w:szCs w:val="22"/>
          <w:lang w:val="en-GB"/>
        </w:rPr>
        <w:t>This is to improve the municipality’s ration to Property, plant and equipment</w:t>
      </w:r>
      <w:r w:rsidR="00C846B3" w:rsidRPr="00667C6A">
        <w:rPr>
          <w:rFonts w:cs="Arial"/>
          <w:sz w:val="22"/>
          <w:szCs w:val="22"/>
          <w:lang w:val="en-GB"/>
        </w:rPr>
        <w:t xml:space="preserve"> or total operating expenditure</w:t>
      </w:r>
      <w:r w:rsidR="006F158E" w:rsidRPr="00667C6A">
        <w:rPr>
          <w:rFonts w:cs="Arial"/>
          <w:sz w:val="22"/>
          <w:szCs w:val="22"/>
          <w:lang w:val="en-GB"/>
        </w:rPr>
        <w:t xml:space="preserve">, which has been below the recommended threshold in recent years. </w:t>
      </w:r>
    </w:p>
    <w:p w:rsidR="008657A4" w:rsidRPr="00667C6A" w:rsidRDefault="008657A4" w:rsidP="00BE466A">
      <w:pPr>
        <w:pStyle w:val="Heading3"/>
        <w:keepLines/>
        <w:numPr>
          <w:ilvl w:val="2"/>
          <w:numId w:val="9"/>
        </w:numPr>
        <w:spacing w:before="200" w:after="0" w:line="276" w:lineRule="auto"/>
        <w:rPr>
          <w:rFonts w:ascii="Arial" w:hAnsi="Arial" w:cs="Arial"/>
          <w:sz w:val="22"/>
          <w:szCs w:val="22"/>
          <w:lang w:val="en-GB"/>
        </w:rPr>
      </w:pPr>
      <w:bookmarkStart w:id="167" w:name="_Toc286034118"/>
      <w:bookmarkStart w:id="168" w:name="_Toc286034709"/>
      <w:bookmarkStart w:id="169" w:name="_Toc287797065"/>
      <w:r w:rsidRPr="00667C6A">
        <w:rPr>
          <w:rFonts w:ascii="Arial" w:hAnsi="Arial" w:cs="Arial"/>
          <w:sz w:val="22"/>
          <w:szCs w:val="22"/>
          <w:lang w:val="en-GB"/>
        </w:rPr>
        <w:t>Cash Management and Investment Policy</w:t>
      </w:r>
      <w:bookmarkEnd w:id="167"/>
      <w:bookmarkEnd w:id="168"/>
      <w:bookmarkEnd w:id="169"/>
    </w:p>
    <w:p w:rsidR="008657A4" w:rsidRPr="00667C6A" w:rsidRDefault="008657A4" w:rsidP="008657A4">
      <w:pPr>
        <w:autoSpaceDE w:val="0"/>
        <w:autoSpaceDN w:val="0"/>
        <w:adjustRightInd w:val="0"/>
        <w:spacing w:line="276" w:lineRule="auto"/>
        <w:jc w:val="both"/>
        <w:rPr>
          <w:rFonts w:cs="Arial"/>
          <w:b/>
          <w:sz w:val="22"/>
          <w:szCs w:val="22"/>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No changes were made to the Municipality’s Cash Management and Investment Policy. The aim of the policy is to ensure that the Municipality’s surplus cash and investments are adequately managed, especially the funds set aside for the cash backing of certain reserves.</w:t>
      </w:r>
    </w:p>
    <w:p w:rsidR="008657A4" w:rsidRPr="00667C6A" w:rsidRDefault="008657A4" w:rsidP="00BE466A">
      <w:pPr>
        <w:pStyle w:val="Heading3"/>
        <w:keepLines/>
        <w:numPr>
          <w:ilvl w:val="2"/>
          <w:numId w:val="9"/>
        </w:numPr>
        <w:spacing w:before="200" w:after="0" w:line="276" w:lineRule="auto"/>
        <w:rPr>
          <w:rFonts w:ascii="Arial" w:hAnsi="Arial" w:cs="Arial"/>
          <w:sz w:val="22"/>
          <w:szCs w:val="22"/>
          <w:lang w:val="en-GB"/>
        </w:rPr>
      </w:pPr>
      <w:bookmarkStart w:id="170" w:name="_Toc286034119"/>
      <w:bookmarkStart w:id="171" w:name="_Toc286034710"/>
      <w:bookmarkStart w:id="172" w:name="_Toc287797066"/>
      <w:r w:rsidRPr="00667C6A">
        <w:rPr>
          <w:rFonts w:ascii="Arial" w:hAnsi="Arial" w:cs="Arial"/>
          <w:sz w:val="22"/>
          <w:szCs w:val="22"/>
          <w:lang w:val="en-GB"/>
        </w:rPr>
        <w:t>Tariff Policy</w:t>
      </w:r>
      <w:bookmarkEnd w:id="170"/>
      <w:bookmarkEnd w:id="171"/>
      <w:bookmarkEnd w:id="172"/>
    </w:p>
    <w:p w:rsidR="008657A4" w:rsidRPr="00667C6A" w:rsidRDefault="008657A4" w:rsidP="008657A4">
      <w:pPr>
        <w:autoSpaceDE w:val="0"/>
        <w:autoSpaceDN w:val="0"/>
        <w:adjustRightInd w:val="0"/>
        <w:spacing w:line="276" w:lineRule="auto"/>
        <w:jc w:val="both"/>
        <w:rPr>
          <w:rFonts w:cs="Arial"/>
          <w:b/>
          <w:sz w:val="22"/>
          <w:szCs w:val="22"/>
          <w:lang w:val="en-GB"/>
        </w:rPr>
      </w:pPr>
    </w:p>
    <w:p w:rsidR="008657A4" w:rsidRPr="00667C6A" w:rsidRDefault="008657A4" w:rsidP="008657A4">
      <w:pPr>
        <w:autoSpaceDE w:val="0"/>
        <w:autoSpaceDN w:val="0"/>
        <w:adjustRightInd w:val="0"/>
        <w:spacing w:line="276" w:lineRule="auto"/>
        <w:jc w:val="both"/>
        <w:rPr>
          <w:rFonts w:cs="Arial"/>
          <w:sz w:val="22"/>
          <w:szCs w:val="22"/>
          <w:lang w:val="en-GB"/>
        </w:rPr>
      </w:pPr>
      <w:r w:rsidRPr="00667C6A">
        <w:rPr>
          <w:rFonts w:cs="Arial"/>
          <w:sz w:val="22"/>
          <w:szCs w:val="22"/>
          <w:lang w:val="en-GB"/>
        </w:rPr>
        <w:t>The Municipality’s tariff policy provide a broad framework within which the Council can determine fair, transparent and affordable charges that also promote sustainable service delivery. The policy have been approved on various dates and a consolidated tariff policy is envisaged to be compiled for ease of administration and implementation over the next two years.</w:t>
      </w:r>
    </w:p>
    <w:p w:rsidR="00AC334D" w:rsidRDefault="00AC334D" w:rsidP="00AC334D">
      <w:pPr>
        <w:pStyle w:val="Heading2"/>
        <w:numPr>
          <w:ilvl w:val="0"/>
          <w:numId w:val="0"/>
        </w:numPr>
        <w:rPr>
          <w:color w:val="984806"/>
        </w:rPr>
      </w:pPr>
    </w:p>
    <w:p w:rsidR="005A697F" w:rsidRPr="000836A3" w:rsidRDefault="005A697F" w:rsidP="002D6413">
      <w:pPr>
        <w:pStyle w:val="Heading2"/>
        <w:numPr>
          <w:ilvl w:val="1"/>
          <w:numId w:val="9"/>
        </w:numPr>
        <w:ind w:left="567" w:hanging="567"/>
        <w:rPr>
          <w:color w:val="984806"/>
        </w:rPr>
      </w:pPr>
      <w:bookmarkStart w:id="173" w:name="_Toc356917077"/>
      <w:bookmarkStart w:id="174" w:name="_Toc3962574"/>
      <w:r w:rsidRPr="000836A3">
        <w:rPr>
          <w:color w:val="984806"/>
        </w:rPr>
        <w:t>Overview of budget assumptions</w:t>
      </w:r>
      <w:bookmarkEnd w:id="135"/>
      <w:bookmarkEnd w:id="136"/>
      <w:bookmarkEnd w:id="137"/>
      <w:bookmarkEnd w:id="138"/>
      <w:bookmarkEnd w:id="139"/>
      <w:bookmarkEnd w:id="140"/>
      <w:bookmarkEnd w:id="141"/>
      <w:bookmarkEnd w:id="173"/>
      <w:bookmarkEnd w:id="174"/>
    </w:p>
    <w:p w:rsidR="005A697F" w:rsidRPr="003E4F0A" w:rsidRDefault="005A697F" w:rsidP="000836A3">
      <w:pPr>
        <w:pStyle w:val="Heading3"/>
        <w:keepLines/>
        <w:numPr>
          <w:ilvl w:val="2"/>
          <w:numId w:val="9"/>
        </w:numPr>
        <w:spacing w:before="200" w:after="0" w:line="276" w:lineRule="auto"/>
        <w:rPr>
          <w:rFonts w:ascii="Arial" w:hAnsi="Arial" w:cs="Arial"/>
          <w:sz w:val="22"/>
          <w:szCs w:val="22"/>
          <w:lang w:val="en-GB"/>
        </w:rPr>
      </w:pPr>
      <w:bookmarkStart w:id="175" w:name="_Toc286034122"/>
      <w:bookmarkStart w:id="176" w:name="_Toc286034713"/>
      <w:bookmarkStart w:id="177" w:name="_Toc287797069"/>
      <w:r w:rsidRPr="003E4F0A">
        <w:rPr>
          <w:rFonts w:ascii="Arial" w:hAnsi="Arial" w:cs="Arial"/>
          <w:sz w:val="22"/>
          <w:szCs w:val="22"/>
          <w:lang w:val="en-GB"/>
        </w:rPr>
        <w:t>External factors</w:t>
      </w:r>
      <w:bookmarkEnd w:id="175"/>
      <w:bookmarkEnd w:id="176"/>
      <w:bookmarkEnd w:id="177"/>
    </w:p>
    <w:p w:rsidR="005A697F" w:rsidRPr="003E4F0A" w:rsidRDefault="005A697F" w:rsidP="00CF14A5">
      <w:pPr>
        <w:autoSpaceDE w:val="0"/>
        <w:autoSpaceDN w:val="0"/>
        <w:adjustRightInd w:val="0"/>
        <w:spacing w:line="276" w:lineRule="auto"/>
        <w:jc w:val="both"/>
        <w:rPr>
          <w:rFonts w:cs="Arial"/>
          <w:b/>
          <w:sz w:val="22"/>
          <w:szCs w:val="22"/>
          <w:lang w:val="en-GB"/>
        </w:rPr>
      </w:pPr>
    </w:p>
    <w:p w:rsidR="00C46AC9" w:rsidRPr="003E4F0A" w:rsidRDefault="005A697F" w:rsidP="006B215D">
      <w:pPr>
        <w:autoSpaceDE w:val="0"/>
        <w:autoSpaceDN w:val="0"/>
        <w:adjustRightInd w:val="0"/>
        <w:spacing w:line="276" w:lineRule="auto"/>
        <w:jc w:val="both"/>
        <w:rPr>
          <w:rFonts w:cs="Arial"/>
          <w:sz w:val="22"/>
          <w:szCs w:val="22"/>
          <w:lang w:val="en-GB"/>
        </w:rPr>
      </w:pPr>
      <w:r w:rsidRPr="003E4F0A">
        <w:rPr>
          <w:rFonts w:cs="Arial"/>
          <w:sz w:val="22"/>
          <w:szCs w:val="22"/>
          <w:lang w:val="en-GB"/>
        </w:rPr>
        <w:t xml:space="preserve">Owing to the economic slowdown, financial </w:t>
      </w:r>
      <w:r w:rsidR="00F00A52" w:rsidRPr="003E4F0A">
        <w:rPr>
          <w:rFonts w:cs="Arial"/>
          <w:sz w:val="22"/>
          <w:szCs w:val="22"/>
          <w:lang w:val="en-GB"/>
        </w:rPr>
        <w:t>resources are limited</w:t>
      </w:r>
      <w:r w:rsidRPr="003E4F0A">
        <w:rPr>
          <w:rFonts w:cs="Arial"/>
          <w:sz w:val="22"/>
          <w:szCs w:val="22"/>
          <w:lang w:val="en-GB"/>
        </w:rPr>
        <w:t>.  This has res</w:t>
      </w:r>
      <w:r w:rsidR="00C846B3" w:rsidRPr="003E4F0A">
        <w:rPr>
          <w:rFonts w:cs="Arial"/>
          <w:sz w:val="22"/>
          <w:szCs w:val="22"/>
          <w:lang w:val="en-GB"/>
        </w:rPr>
        <w:t xml:space="preserve">ulted in declining cash inflows. This together with the </w:t>
      </w:r>
      <w:r w:rsidR="00DE0CF8">
        <w:rPr>
          <w:rFonts w:cs="Arial"/>
          <w:sz w:val="22"/>
          <w:szCs w:val="22"/>
          <w:lang w:val="en-GB"/>
        </w:rPr>
        <w:t xml:space="preserve">coronavirus pandemic and the uncertain costs which it might cause </w:t>
      </w:r>
      <w:r w:rsidRPr="003E4F0A">
        <w:rPr>
          <w:rFonts w:cs="Arial"/>
          <w:sz w:val="22"/>
          <w:szCs w:val="22"/>
          <w:lang w:val="en-GB"/>
        </w:rPr>
        <w:t xml:space="preserve">has necessitated restrained expenditure to ensure that cash outflows remain within the affordability parameters of the </w:t>
      </w:r>
      <w:r w:rsidR="00A52B13" w:rsidRPr="003E4F0A">
        <w:rPr>
          <w:rFonts w:cs="Arial"/>
          <w:sz w:val="22"/>
          <w:szCs w:val="22"/>
          <w:lang w:val="en-GB"/>
        </w:rPr>
        <w:t>Municipality</w:t>
      </w:r>
      <w:r w:rsidRPr="003E4F0A">
        <w:rPr>
          <w:rFonts w:cs="Arial"/>
          <w:sz w:val="22"/>
          <w:szCs w:val="22"/>
          <w:lang w:val="en-GB"/>
        </w:rPr>
        <w:t>’s finances.</w:t>
      </w:r>
    </w:p>
    <w:p w:rsidR="005A697F" w:rsidRPr="003E4F0A" w:rsidRDefault="005A697F" w:rsidP="000836A3">
      <w:pPr>
        <w:pStyle w:val="Heading3"/>
        <w:keepLines/>
        <w:numPr>
          <w:ilvl w:val="2"/>
          <w:numId w:val="9"/>
        </w:numPr>
        <w:spacing w:before="200" w:after="0" w:line="276" w:lineRule="auto"/>
        <w:rPr>
          <w:rFonts w:ascii="Arial" w:hAnsi="Arial" w:cs="Arial"/>
          <w:sz w:val="22"/>
          <w:szCs w:val="22"/>
          <w:lang w:val="en-GB"/>
        </w:rPr>
      </w:pPr>
      <w:bookmarkStart w:id="178" w:name="_Toc286034123"/>
      <w:bookmarkStart w:id="179" w:name="_Toc286034714"/>
      <w:bookmarkStart w:id="180" w:name="_Toc287797070"/>
      <w:r w:rsidRPr="003E4F0A">
        <w:rPr>
          <w:rFonts w:ascii="Arial" w:hAnsi="Arial" w:cs="Arial"/>
          <w:sz w:val="22"/>
          <w:szCs w:val="22"/>
          <w:lang w:val="en-GB"/>
        </w:rPr>
        <w:t>General inflation outlook and its impact on the municipal activities</w:t>
      </w:r>
      <w:bookmarkEnd w:id="178"/>
      <w:bookmarkEnd w:id="179"/>
      <w:bookmarkEnd w:id="180"/>
    </w:p>
    <w:p w:rsidR="005A697F" w:rsidRPr="003E4F0A" w:rsidRDefault="005A697F" w:rsidP="006B215D">
      <w:pPr>
        <w:autoSpaceDE w:val="0"/>
        <w:autoSpaceDN w:val="0"/>
        <w:adjustRightInd w:val="0"/>
        <w:spacing w:line="276" w:lineRule="auto"/>
        <w:ind w:left="720" w:hanging="720"/>
        <w:jc w:val="both"/>
        <w:rPr>
          <w:rFonts w:cs="Arial"/>
          <w:b/>
          <w:sz w:val="22"/>
          <w:szCs w:val="22"/>
          <w:lang w:val="en-GB"/>
        </w:rPr>
      </w:pPr>
    </w:p>
    <w:p w:rsidR="005A697F" w:rsidRPr="003E4F0A" w:rsidRDefault="005A697F" w:rsidP="006B215D">
      <w:pPr>
        <w:autoSpaceDE w:val="0"/>
        <w:autoSpaceDN w:val="0"/>
        <w:adjustRightInd w:val="0"/>
        <w:spacing w:line="276" w:lineRule="auto"/>
        <w:jc w:val="both"/>
        <w:rPr>
          <w:rFonts w:cs="Arial"/>
          <w:sz w:val="22"/>
          <w:szCs w:val="22"/>
          <w:lang w:val="en-GB"/>
        </w:rPr>
      </w:pPr>
      <w:r w:rsidRPr="003E4F0A">
        <w:rPr>
          <w:rFonts w:cs="Arial"/>
          <w:sz w:val="22"/>
          <w:szCs w:val="22"/>
          <w:lang w:val="en-GB"/>
        </w:rPr>
        <w:t xml:space="preserve">There are five key factors that have been taken into consideration in the compilation of the </w:t>
      </w:r>
      <w:r w:rsidR="00DE0CF8">
        <w:rPr>
          <w:rFonts w:cs="Arial"/>
          <w:sz w:val="22"/>
          <w:szCs w:val="22"/>
          <w:lang w:val="en-GB"/>
        </w:rPr>
        <w:t>2020/21</w:t>
      </w:r>
      <w:r w:rsidR="0075745A">
        <w:rPr>
          <w:rFonts w:cs="Arial"/>
          <w:sz w:val="22"/>
          <w:szCs w:val="22"/>
          <w:lang w:val="en-GB"/>
        </w:rPr>
        <w:t xml:space="preserve"> </w:t>
      </w:r>
      <w:r w:rsidRPr="003E4F0A">
        <w:rPr>
          <w:rFonts w:cs="Arial"/>
          <w:sz w:val="22"/>
          <w:szCs w:val="22"/>
          <w:lang w:val="en-GB"/>
        </w:rPr>
        <w:t>MTREF:</w:t>
      </w:r>
    </w:p>
    <w:p w:rsidR="005A697F" w:rsidRPr="003E4F0A" w:rsidRDefault="005A697F" w:rsidP="006B215D">
      <w:pPr>
        <w:autoSpaceDE w:val="0"/>
        <w:autoSpaceDN w:val="0"/>
        <w:adjustRightInd w:val="0"/>
        <w:spacing w:line="276" w:lineRule="auto"/>
        <w:jc w:val="both"/>
        <w:rPr>
          <w:rFonts w:cs="Arial"/>
          <w:sz w:val="22"/>
          <w:szCs w:val="22"/>
          <w:lang w:val="en-GB"/>
        </w:rPr>
      </w:pPr>
    </w:p>
    <w:p w:rsidR="005A697F" w:rsidRPr="003E4F0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National Government macro economic targets;</w:t>
      </w:r>
    </w:p>
    <w:p w:rsidR="005A697F" w:rsidRPr="003E4F0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 xml:space="preserve">The general inflationary outlook and the impact on </w:t>
      </w:r>
      <w:r w:rsidR="00A52B13" w:rsidRPr="003E4F0A">
        <w:rPr>
          <w:rFonts w:cs="Arial"/>
          <w:sz w:val="22"/>
          <w:szCs w:val="22"/>
        </w:rPr>
        <w:t>Municipality</w:t>
      </w:r>
      <w:r w:rsidRPr="003E4F0A">
        <w:rPr>
          <w:rFonts w:cs="Arial"/>
          <w:sz w:val="22"/>
          <w:szCs w:val="22"/>
        </w:rPr>
        <w:t>’s residents and businesses;</w:t>
      </w:r>
    </w:p>
    <w:p w:rsidR="005A697F" w:rsidRPr="003E4F0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The impact of municipal cost drivers;</w:t>
      </w:r>
    </w:p>
    <w:p w:rsidR="00F60A85" w:rsidRPr="003E4F0A" w:rsidRDefault="00F60A85" w:rsidP="00F60A85">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The increase in</w:t>
      </w:r>
      <w:r w:rsidR="0075745A">
        <w:rPr>
          <w:rFonts w:cs="Arial"/>
          <w:sz w:val="22"/>
          <w:szCs w:val="22"/>
        </w:rPr>
        <w:t xml:space="preserve"> prices for bulk</w:t>
      </w:r>
      <w:r w:rsidRPr="003E4F0A">
        <w:rPr>
          <w:rFonts w:cs="Arial"/>
          <w:sz w:val="22"/>
          <w:szCs w:val="22"/>
        </w:rPr>
        <w:t xml:space="preserve"> water; and</w:t>
      </w:r>
    </w:p>
    <w:p w:rsidR="00F60A85" w:rsidRPr="003E4F0A" w:rsidRDefault="00F60A85" w:rsidP="00F60A85">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 xml:space="preserve">The increase in the cost of remuneration. The wage agreement </w:t>
      </w:r>
      <w:r w:rsidR="00551D97" w:rsidRPr="003E4F0A">
        <w:rPr>
          <w:rFonts w:cs="Arial"/>
          <w:sz w:val="22"/>
          <w:szCs w:val="22"/>
        </w:rPr>
        <w:t>negotiated by</w:t>
      </w:r>
      <w:r w:rsidR="0075745A">
        <w:rPr>
          <w:rFonts w:cs="Arial"/>
          <w:sz w:val="22"/>
          <w:szCs w:val="22"/>
        </w:rPr>
        <w:t xml:space="preserve"> </w:t>
      </w:r>
      <w:r w:rsidRPr="003E4F0A">
        <w:rPr>
          <w:rFonts w:cs="Arial"/>
          <w:sz w:val="22"/>
          <w:szCs w:val="22"/>
        </w:rPr>
        <w:t>SALGBC</w:t>
      </w:r>
      <w:r w:rsidR="00551D97" w:rsidRPr="003E4F0A">
        <w:rPr>
          <w:rFonts w:cs="Arial"/>
          <w:sz w:val="22"/>
          <w:szCs w:val="22"/>
        </w:rPr>
        <w:t>.</w:t>
      </w:r>
    </w:p>
    <w:p w:rsidR="005A697F" w:rsidRPr="003E4F0A" w:rsidRDefault="005A697F" w:rsidP="000836A3">
      <w:pPr>
        <w:pStyle w:val="Heading3"/>
        <w:keepLines/>
        <w:numPr>
          <w:ilvl w:val="2"/>
          <w:numId w:val="9"/>
        </w:numPr>
        <w:spacing w:before="200" w:after="0" w:line="276" w:lineRule="auto"/>
        <w:rPr>
          <w:rFonts w:ascii="Arial" w:hAnsi="Arial" w:cs="Arial"/>
          <w:sz w:val="22"/>
          <w:szCs w:val="22"/>
          <w:lang w:val="en-GB"/>
        </w:rPr>
      </w:pPr>
      <w:bookmarkStart w:id="181" w:name="_Toc286034126"/>
      <w:bookmarkStart w:id="182" w:name="_Toc286034717"/>
      <w:bookmarkStart w:id="183" w:name="_Toc287797073"/>
      <w:r w:rsidRPr="003E4F0A">
        <w:rPr>
          <w:rFonts w:ascii="Arial" w:hAnsi="Arial" w:cs="Arial"/>
          <w:sz w:val="22"/>
          <w:szCs w:val="22"/>
          <w:lang w:val="en-GB"/>
        </w:rPr>
        <w:lastRenderedPageBreak/>
        <w:t>Collection rate for revenue services</w:t>
      </w:r>
      <w:bookmarkEnd w:id="181"/>
      <w:bookmarkEnd w:id="182"/>
      <w:bookmarkEnd w:id="183"/>
    </w:p>
    <w:p w:rsidR="005A697F" w:rsidRPr="003E4F0A" w:rsidRDefault="005A697F" w:rsidP="006B215D">
      <w:pPr>
        <w:autoSpaceDE w:val="0"/>
        <w:autoSpaceDN w:val="0"/>
        <w:adjustRightInd w:val="0"/>
        <w:spacing w:line="276" w:lineRule="auto"/>
        <w:ind w:left="720" w:hanging="720"/>
        <w:rPr>
          <w:rFonts w:cs="Arial"/>
          <w:b/>
          <w:sz w:val="22"/>
          <w:szCs w:val="22"/>
          <w:lang w:val="en-GB"/>
        </w:rPr>
      </w:pPr>
    </w:p>
    <w:p w:rsidR="005A697F" w:rsidRPr="003E4F0A" w:rsidRDefault="005A697F" w:rsidP="006B215D">
      <w:pPr>
        <w:autoSpaceDE w:val="0"/>
        <w:autoSpaceDN w:val="0"/>
        <w:adjustRightInd w:val="0"/>
        <w:spacing w:line="276" w:lineRule="auto"/>
        <w:jc w:val="both"/>
        <w:rPr>
          <w:rFonts w:cs="Arial"/>
          <w:sz w:val="22"/>
          <w:szCs w:val="22"/>
          <w:lang w:val="en-GB"/>
        </w:rPr>
      </w:pPr>
      <w:r w:rsidRPr="003E4F0A">
        <w:rPr>
          <w:rFonts w:cs="Arial"/>
          <w:sz w:val="22"/>
          <w:szCs w:val="22"/>
          <w:lang w:val="en-GB"/>
        </w:rPr>
        <w:t>The base assumption is that tariff and rating increases will increase at a rate slightly higher that CPI over the long term. It is also assumed that current economic conditions, and relatively controlled inflationary conditions, will continue for the forecasted term.</w:t>
      </w:r>
      <w:r w:rsidR="003E4F0A">
        <w:rPr>
          <w:rFonts w:cs="Arial"/>
          <w:sz w:val="22"/>
          <w:szCs w:val="22"/>
          <w:lang w:val="en-GB"/>
        </w:rPr>
        <w:t xml:space="preserve"> The Collec</w:t>
      </w:r>
      <w:r w:rsidR="0075745A">
        <w:rPr>
          <w:rFonts w:cs="Arial"/>
          <w:sz w:val="22"/>
          <w:szCs w:val="22"/>
          <w:lang w:val="en-GB"/>
        </w:rPr>
        <w:t>tion rate has been budgeted at 3</w:t>
      </w:r>
      <w:r w:rsidR="004626BC">
        <w:rPr>
          <w:rFonts w:cs="Arial"/>
          <w:sz w:val="22"/>
          <w:szCs w:val="22"/>
          <w:lang w:val="en-GB"/>
        </w:rPr>
        <w:t>7</w:t>
      </w:r>
      <w:r w:rsidR="003E4F0A">
        <w:rPr>
          <w:rFonts w:cs="Arial"/>
          <w:sz w:val="22"/>
          <w:szCs w:val="22"/>
          <w:lang w:val="en-GB"/>
        </w:rPr>
        <w:t>% of the Service Charges.</w:t>
      </w:r>
      <w:r w:rsidR="00A54D64">
        <w:rPr>
          <w:rFonts w:cs="Arial"/>
          <w:sz w:val="22"/>
          <w:szCs w:val="22"/>
          <w:lang w:val="en-GB"/>
        </w:rPr>
        <w:t xml:space="preserve"> The debt collection policy will be reviewed in order to (after conducting public participation) to allow the municipality to deduct a percentage of pre-paid water sales as part payment towards the relevant consumers’ arrears. </w:t>
      </w:r>
    </w:p>
    <w:p w:rsidR="005A697F" w:rsidRPr="003E4F0A" w:rsidRDefault="005A697F" w:rsidP="000836A3">
      <w:pPr>
        <w:pStyle w:val="Heading3"/>
        <w:keepLines/>
        <w:numPr>
          <w:ilvl w:val="2"/>
          <w:numId w:val="9"/>
        </w:numPr>
        <w:spacing w:before="200" w:after="0" w:line="276" w:lineRule="auto"/>
        <w:rPr>
          <w:rFonts w:ascii="Arial" w:hAnsi="Arial" w:cs="Arial"/>
          <w:sz w:val="22"/>
          <w:szCs w:val="22"/>
          <w:lang w:val="en-GB"/>
        </w:rPr>
      </w:pPr>
      <w:bookmarkStart w:id="184" w:name="_Toc286034128"/>
      <w:bookmarkStart w:id="185" w:name="_Toc286034719"/>
      <w:bookmarkStart w:id="186" w:name="_Toc287797075"/>
      <w:r w:rsidRPr="003E4F0A">
        <w:rPr>
          <w:rFonts w:ascii="Arial" w:hAnsi="Arial" w:cs="Arial"/>
          <w:sz w:val="22"/>
          <w:szCs w:val="22"/>
          <w:lang w:val="en-GB"/>
        </w:rPr>
        <w:t>Salary increases</w:t>
      </w:r>
      <w:bookmarkEnd w:id="184"/>
      <w:bookmarkEnd w:id="185"/>
      <w:bookmarkEnd w:id="186"/>
    </w:p>
    <w:p w:rsidR="005A697F" w:rsidRPr="003E4F0A" w:rsidRDefault="005A697F" w:rsidP="006B215D">
      <w:pPr>
        <w:autoSpaceDE w:val="0"/>
        <w:autoSpaceDN w:val="0"/>
        <w:adjustRightInd w:val="0"/>
        <w:spacing w:line="276" w:lineRule="auto"/>
        <w:ind w:left="720" w:hanging="720"/>
        <w:rPr>
          <w:rFonts w:cs="Arial"/>
          <w:b/>
          <w:sz w:val="22"/>
          <w:szCs w:val="22"/>
          <w:lang w:val="en-GB"/>
        </w:rPr>
      </w:pPr>
    </w:p>
    <w:p w:rsidR="005A697F" w:rsidRPr="003E4F0A" w:rsidRDefault="0075745A" w:rsidP="006B215D">
      <w:pPr>
        <w:autoSpaceDE w:val="0"/>
        <w:autoSpaceDN w:val="0"/>
        <w:adjustRightInd w:val="0"/>
        <w:spacing w:line="276" w:lineRule="auto"/>
        <w:jc w:val="both"/>
        <w:rPr>
          <w:rFonts w:cs="Arial"/>
          <w:sz w:val="22"/>
          <w:szCs w:val="22"/>
          <w:lang w:val="en-GB"/>
        </w:rPr>
      </w:pPr>
      <w:r>
        <w:rPr>
          <w:rFonts w:cs="Arial"/>
          <w:sz w:val="22"/>
          <w:szCs w:val="22"/>
          <w:lang w:val="en-GB"/>
        </w:rPr>
        <w:t xml:space="preserve">The salary </w:t>
      </w:r>
      <w:r w:rsidR="004626BC">
        <w:rPr>
          <w:rFonts w:cs="Arial"/>
          <w:sz w:val="22"/>
          <w:szCs w:val="22"/>
          <w:lang w:val="en-GB"/>
        </w:rPr>
        <w:t>increase amounted to 6.25</w:t>
      </w:r>
      <w:r>
        <w:rPr>
          <w:rFonts w:cs="Arial"/>
          <w:sz w:val="22"/>
          <w:szCs w:val="22"/>
          <w:lang w:val="en-GB"/>
        </w:rPr>
        <w:t xml:space="preserve">%, as per the </w:t>
      </w:r>
      <w:r w:rsidR="005A697F" w:rsidRPr="003E4F0A">
        <w:rPr>
          <w:rFonts w:cs="Arial"/>
          <w:sz w:val="22"/>
          <w:szCs w:val="22"/>
          <w:lang w:val="en-GB"/>
        </w:rPr>
        <w:t>collective agreement regarding salaries/wages</w:t>
      </w:r>
      <w:r w:rsidR="00B74D37" w:rsidRPr="003E4F0A">
        <w:rPr>
          <w:rFonts w:cs="Arial"/>
          <w:sz w:val="22"/>
          <w:szCs w:val="22"/>
          <w:lang w:val="en-GB"/>
        </w:rPr>
        <w:t xml:space="preserve"> for the </w:t>
      </w:r>
      <w:r w:rsidR="004626BC">
        <w:rPr>
          <w:rFonts w:cs="Arial"/>
          <w:sz w:val="22"/>
          <w:szCs w:val="22"/>
          <w:lang w:val="en-GB"/>
        </w:rPr>
        <w:t>2020/21</w:t>
      </w:r>
      <w:r>
        <w:rPr>
          <w:rFonts w:cs="Arial"/>
          <w:sz w:val="22"/>
          <w:szCs w:val="22"/>
          <w:lang w:val="en-GB"/>
        </w:rPr>
        <w:t xml:space="preserve"> </w:t>
      </w:r>
      <w:r w:rsidR="00CF14A5" w:rsidRPr="003E4F0A">
        <w:rPr>
          <w:rFonts w:cs="Arial"/>
          <w:sz w:val="22"/>
          <w:szCs w:val="22"/>
          <w:lang w:val="en-GB"/>
        </w:rPr>
        <w:t>financial y</w:t>
      </w:r>
      <w:r w:rsidR="00BA4E29" w:rsidRPr="003E4F0A">
        <w:rPr>
          <w:rFonts w:cs="Arial"/>
          <w:sz w:val="22"/>
          <w:szCs w:val="22"/>
          <w:lang w:val="en-GB"/>
        </w:rPr>
        <w:t>ear</w:t>
      </w:r>
      <w:r w:rsidR="005A697F" w:rsidRPr="003E4F0A">
        <w:rPr>
          <w:rFonts w:cs="Arial"/>
          <w:sz w:val="22"/>
          <w:szCs w:val="22"/>
          <w:lang w:val="en-GB"/>
        </w:rPr>
        <w:t>.</w:t>
      </w:r>
    </w:p>
    <w:p w:rsidR="005A697F" w:rsidRPr="003E4F0A" w:rsidRDefault="005A697F" w:rsidP="000836A3">
      <w:pPr>
        <w:pStyle w:val="Heading3"/>
        <w:keepLines/>
        <w:numPr>
          <w:ilvl w:val="2"/>
          <w:numId w:val="9"/>
        </w:numPr>
        <w:spacing w:before="200" w:after="0" w:line="276" w:lineRule="auto"/>
        <w:rPr>
          <w:rFonts w:ascii="Arial" w:hAnsi="Arial" w:cs="Arial"/>
          <w:sz w:val="22"/>
          <w:szCs w:val="22"/>
          <w:lang w:val="en-GB"/>
        </w:rPr>
      </w:pPr>
      <w:bookmarkStart w:id="187" w:name="_Toc286034129"/>
      <w:bookmarkStart w:id="188" w:name="_Toc286034720"/>
      <w:bookmarkStart w:id="189" w:name="_Toc287797076"/>
      <w:r w:rsidRPr="003E4F0A">
        <w:rPr>
          <w:rFonts w:ascii="Arial" w:hAnsi="Arial" w:cs="Arial"/>
          <w:sz w:val="22"/>
          <w:szCs w:val="22"/>
          <w:lang w:val="en-GB"/>
        </w:rPr>
        <w:t>Impact of national, provincial and local policies</w:t>
      </w:r>
      <w:bookmarkEnd w:id="187"/>
      <w:bookmarkEnd w:id="188"/>
      <w:bookmarkEnd w:id="189"/>
    </w:p>
    <w:p w:rsidR="005A697F" w:rsidRPr="003E4F0A" w:rsidRDefault="005A697F" w:rsidP="006B215D">
      <w:pPr>
        <w:autoSpaceDE w:val="0"/>
        <w:autoSpaceDN w:val="0"/>
        <w:adjustRightInd w:val="0"/>
        <w:spacing w:line="276" w:lineRule="auto"/>
        <w:jc w:val="both"/>
        <w:rPr>
          <w:rFonts w:cs="Arial"/>
          <w:sz w:val="22"/>
          <w:szCs w:val="22"/>
          <w:lang w:val="en-GB"/>
        </w:rPr>
      </w:pPr>
    </w:p>
    <w:p w:rsidR="005A697F" w:rsidRPr="003E4F0A" w:rsidRDefault="005A697F" w:rsidP="006B215D">
      <w:pPr>
        <w:autoSpaceDE w:val="0"/>
        <w:autoSpaceDN w:val="0"/>
        <w:adjustRightInd w:val="0"/>
        <w:spacing w:line="276" w:lineRule="auto"/>
        <w:jc w:val="both"/>
        <w:rPr>
          <w:rFonts w:cs="Arial"/>
          <w:sz w:val="22"/>
          <w:szCs w:val="22"/>
          <w:lang w:val="en-GB"/>
        </w:rPr>
      </w:pPr>
      <w:r w:rsidRPr="003E4F0A">
        <w:rPr>
          <w:rFonts w:cs="Arial"/>
          <w:sz w:val="22"/>
          <w:szCs w:val="22"/>
          <w:lang w:val="en-GB"/>
        </w:rPr>
        <w:t>Integration of service delivery between national, provincial and local government is critical to ensure focussed service delivery and in this regard various measures were implemented to align IDPs, provincial and national strategies around priority spatial interventions.  In this regard, the following national priorities form the basis of all integration initiatives:</w:t>
      </w:r>
    </w:p>
    <w:p w:rsidR="005A697F" w:rsidRPr="003E4F0A" w:rsidRDefault="005A697F" w:rsidP="006B215D">
      <w:pPr>
        <w:autoSpaceDE w:val="0"/>
        <w:autoSpaceDN w:val="0"/>
        <w:adjustRightInd w:val="0"/>
        <w:spacing w:line="276" w:lineRule="auto"/>
        <w:jc w:val="both"/>
        <w:rPr>
          <w:rFonts w:cs="Arial"/>
          <w:sz w:val="22"/>
          <w:szCs w:val="22"/>
          <w:lang w:val="en-GB"/>
        </w:rPr>
      </w:pPr>
    </w:p>
    <w:p w:rsidR="005A697F" w:rsidRPr="003E4F0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Creating jobs;</w:t>
      </w:r>
    </w:p>
    <w:p w:rsidR="00CF14A5" w:rsidRPr="003E4F0A" w:rsidRDefault="00CF14A5"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Infrastructure Development</w:t>
      </w:r>
    </w:p>
    <w:p w:rsidR="005A697F" w:rsidRPr="003E4F0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Enhancing education and skill development;</w:t>
      </w:r>
    </w:p>
    <w:p w:rsidR="005A697F" w:rsidRPr="003E4F0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Improving Health services;</w:t>
      </w:r>
    </w:p>
    <w:p w:rsidR="005A697F" w:rsidRPr="003E4F0A"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Rural development and agriculture; and</w:t>
      </w:r>
    </w:p>
    <w:p w:rsidR="005A697F" w:rsidRPr="003E4F0A" w:rsidRDefault="00CF14A5"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3E4F0A">
        <w:rPr>
          <w:rFonts w:cs="Arial"/>
          <w:sz w:val="22"/>
          <w:szCs w:val="22"/>
        </w:rPr>
        <w:t>Strengthening financial management in public sector</w:t>
      </w:r>
    </w:p>
    <w:p w:rsidR="005A697F" w:rsidRPr="003E4F0A" w:rsidRDefault="005A697F" w:rsidP="006B215D">
      <w:pPr>
        <w:autoSpaceDE w:val="0"/>
        <w:autoSpaceDN w:val="0"/>
        <w:adjustRightInd w:val="0"/>
        <w:spacing w:line="276" w:lineRule="auto"/>
        <w:rPr>
          <w:rFonts w:cs="Arial"/>
          <w:sz w:val="22"/>
          <w:szCs w:val="22"/>
          <w:lang w:val="en-GB"/>
        </w:rPr>
      </w:pPr>
    </w:p>
    <w:p w:rsidR="00C46AC9" w:rsidRPr="003E4F0A" w:rsidRDefault="005A697F" w:rsidP="006B215D">
      <w:pPr>
        <w:spacing w:line="276" w:lineRule="auto"/>
        <w:jc w:val="both"/>
        <w:rPr>
          <w:rFonts w:cs="Arial"/>
          <w:sz w:val="22"/>
          <w:szCs w:val="22"/>
          <w:lang w:val="en-GB"/>
        </w:rPr>
      </w:pPr>
      <w:r w:rsidRPr="003E4F0A">
        <w:rPr>
          <w:rFonts w:cs="Arial"/>
          <w:sz w:val="22"/>
          <w:szCs w:val="22"/>
          <w:lang w:val="en-GB"/>
        </w:rPr>
        <w:t>To achieve these priorities integration mechanisms are in place to ensure integrated planning and execution of various development programs. The focus will be to strengthen the link between policy priorities and expenditure thereby ensuring the achievement of the national, provincial and local objectives.</w:t>
      </w:r>
    </w:p>
    <w:p w:rsidR="005A697F" w:rsidRPr="003E4F0A" w:rsidRDefault="005A697F" w:rsidP="000836A3">
      <w:pPr>
        <w:pStyle w:val="Heading3"/>
        <w:keepLines/>
        <w:numPr>
          <w:ilvl w:val="2"/>
          <w:numId w:val="9"/>
        </w:numPr>
        <w:spacing w:before="200" w:after="0" w:line="276" w:lineRule="auto"/>
        <w:rPr>
          <w:rFonts w:ascii="Arial" w:hAnsi="Arial" w:cs="Arial"/>
          <w:sz w:val="22"/>
          <w:szCs w:val="22"/>
          <w:lang w:val="en-GB"/>
        </w:rPr>
      </w:pPr>
      <w:bookmarkStart w:id="190" w:name="_Toc286034130"/>
      <w:bookmarkStart w:id="191" w:name="_Toc286034721"/>
      <w:bookmarkStart w:id="192" w:name="_Toc287797077"/>
      <w:r w:rsidRPr="003E4F0A">
        <w:rPr>
          <w:rFonts w:ascii="Arial" w:hAnsi="Arial" w:cs="Arial"/>
          <w:sz w:val="22"/>
          <w:szCs w:val="22"/>
          <w:lang w:val="en-GB"/>
        </w:rPr>
        <w:t>Ability of the municipality to spend and deliver on the programmes</w:t>
      </w:r>
      <w:bookmarkEnd w:id="190"/>
      <w:bookmarkEnd w:id="191"/>
      <w:bookmarkEnd w:id="192"/>
    </w:p>
    <w:p w:rsidR="005A697F" w:rsidRPr="003E4F0A" w:rsidRDefault="005A697F" w:rsidP="006B215D">
      <w:pPr>
        <w:autoSpaceDE w:val="0"/>
        <w:autoSpaceDN w:val="0"/>
        <w:adjustRightInd w:val="0"/>
        <w:spacing w:line="276" w:lineRule="auto"/>
        <w:ind w:left="720" w:hanging="720"/>
        <w:rPr>
          <w:rFonts w:cs="Arial"/>
          <w:b/>
          <w:sz w:val="22"/>
          <w:szCs w:val="22"/>
          <w:lang w:val="en-GB"/>
        </w:rPr>
      </w:pPr>
    </w:p>
    <w:p w:rsidR="00BF4904" w:rsidRDefault="005A697F" w:rsidP="006B215D">
      <w:pPr>
        <w:autoSpaceDE w:val="0"/>
        <w:autoSpaceDN w:val="0"/>
        <w:adjustRightInd w:val="0"/>
        <w:spacing w:line="276" w:lineRule="auto"/>
        <w:jc w:val="both"/>
        <w:rPr>
          <w:rFonts w:cs="Arial"/>
          <w:sz w:val="22"/>
          <w:szCs w:val="22"/>
          <w:lang w:val="en-GB"/>
        </w:rPr>
      </w:pPr>
      <w:r w:rsidRPr="003E4F0A">
        <w:rPr>
          <w:rFonts w:cs="Arial"/>
          <w:sz w:val="22"/>
          <w:szCs w:val="22"/>
          <w:lang w:val="en-GB"/>
        </w:rPr>
        <w:t xml:space="preserve">It is estimated that a spending rate of </w:t>
      </w:r>
      <w:r w:rsidR="0084710E" w:rsidRPr="003E4F0A">
        <w:rPr>
          <w:rFonts w:cs="Arial"/>
          <w:sz w:val="22"/>
          <w:szCs w:val="22"/>
          <w:lang w:val="en-GB"/>
        </w:rPr>
        <w:t>100</w:t>
      </w:r>
      <w:r w:rsidR="0075745A">
        <w:rPr>
          <w:rFonts w:cs="Arial"/>
          <w:sz w:val="22"/>
          <w:szCs w:val="22"/>
          <w:lang w:val="en-GB"/>
        </w:rPr>
        <w:t xml:space="preserve"> </w:t>
      </w:r>
      <w:r w:rsidR="00A52B13" w:rsidRPr="003E4F0A">
        <w:rPr>
          <w:rFonts w:cs="Arial"/>
          <w:sz w:val="22"/>
          <w:szCs w:val="22"/>
          <w:lang w:val="en-GB"/>
        </w:rPr>
        <w:t>percent</w:t>
      </w:r>
      <w:r w:rsidRPr="003E4F0A">
        <w:rPr>
          <w:rFonts w:cs="Arial"/>
          <w:sz w:val="22"/>
          <w:szCs w:val="22"/>
          <w:lang w:val="en-GB"/>
        </w:rPr>
        <w:t xml:space="preserve"> is achieved on operating expenditure and </w:t>
      </w:r>
      <w:r w:rsidR="0084710E" w:rsidRPr="003E4F0A">
        <w:rPr>
          <w:rFonts w:cs="Arial"/>
          <w:sz w:val="22"/>
          <w:szCs w:val="22"/>
          <w:lang w:val="en-GB"/>
        </w:rPr>
        <w:t>o</w:t>
      </w:r>
      <w:r w:rsidRPr="003E4F0A">
        <w:rPr>
          <w:rFonts w:cs="Arial"/>
          <w:sz w:val="22"/>
          <w:szCs w:val="22"/>
          <w:lang w:val="en-GB"/>
        </w:rPr>
        <w:t>n th</w:t>
      </w:r>
      <w:r w:rsidR="00CF14A5" w:rsidRPr="003E4F0A">
        <w:rPr>
          <w:rFonts w:cs="Arial"/>
          <w:sz w:val="22"/>
          <w:szCs w:val="22"/>
          <w:lang w:val="en-GB"/>
        </w:rPr>
        <w:t xml:space="preserve">e capital programme for the </w:t>
      </w:r>
      <w:r w:rsidR="004626BC">
        <w:rPr>
          <w:rFonts w:cs="Arial"/>
          <w:sz w:val="22"/>
          <w:szCs w:val="22"/>
          <w:lang w:val="en-GB"/>
        </w:rPr>
        <w:t>2020/21</w:t>
      </w:r>
      <w:r w:rsidR="0075745A">
        <w:rPr>
          <w:rFonts w:cs="Arial"/>
          <w:sz w:val="22"/>
          <w:szCs w:val="22"/>
          <w:lang w:val="en-GB"/>
        </w:rPr>
        <w:t xml:space="preserve"> </w:t>
      </w:r>
      <w:r w:rsidRPr="003E4F0A">
        <w:rPr>
          <w:rFonts w:cs="Arial"/>
          <w:sz w:val="22"/>
          <w:szCs w:val="22"/>
          <w:lang w:val="en-GB"/>
        </w:rPr>
        <w:t>MTREF of which performance has been factored into the cash flow budget.</w:t>
      </w:r>
      <w:r w:rsidR="00BF4904">
        <w:rPr>
          <w:rFonts w:cs="Arial"/>
          <w:sz w:val="22"/>
          <w:szCs w:val="22"/>
          <w:lang w:val="en-GB"/>
        </w:rPr>
        <w:t xml:space="preserve"> The municipality has limited funding. Programmes and Service Delivery have been prioritised.</w:t>
      </w:r>
    </w:p>
    <w:p w:rsidR="004626BC" w:rsidRDefault="004626BC" w:rsidP="006B215D">
      <w:pPr>
        <w:autoSpaceDE w:val="0"/>
        <w:autoSpaceDN w:val="0"/>
        <w:adjustRightInd w:val="0"/>
        <w:spacing w:line="276" w:lineRule="auto"/>
        <w:jc w:val="both"/>
        <w:rPr>
          <w:rFonts w:cs="Arial"/>
          <w:sz w:val="22"/>
          <w:szCs w:val="22"/>
          <w:lang w:val="en-GB"/>
        </w:rPr>
      </w:pPr>
    </w:p>
    <w:p w:rsidR="005A697F" w:rsidRPr="000C4D41" w:rsidRDefault="005A697F" w:rsidP="002D6413">
      <w:pPr>
        <w:pStyle w:val="Heading2"/>
        <w:numPr>
          <w:ilvl w:val="1"/>
          <w:numId w:val="9"/>
        </w:numPr>
        <w:ind w:left="567" w:hanging="567"/>
        <w:rPr>
          <w:color w:val="984806"/>
        </w:rPr>
      </w:pPr>
      <w:bookmarkStart w:id="193" w:name="_Toc286034131"/>
      <w:bookmarkStart w:id="194" w:name="_Toc286034722"/>
      <w:bookmarkStart w:id="195" w:name="_Toc286041444"/>
      <w:bookmarkStart w:id="196" w:name="_Toc286041513"/>
      <w:bookmarkStart w:id="197" w:name="_Toc286117324"/>
      <w:bookmarkStart w:id="198" w:name="_Toc287342535"/>
      <w:bookmarkStart w:id="199" w:name="_Toc287797078"/>
      <w:bookmarkStart w:id="200" w:name="_Toc356917078"/>
      <w:bookmarkStart w:id="201" w:name="_Toc3962575"/>
      <w:r w:rsidRPr="000C4D41">
        <w:rPr>
          <w:color w:val="984806"/>
        </w:rPr>
        <w:t>Overview of budget funding</w:t>
      </w:r>
      <w:bookmarkEnd w:id="193"/>
      <w:bookmarkEnd w:id="194"/>
      <w:bookmarkEnd w:id="195"/>
      <w:bookmarkEnd w:id="196"/>
      <w:bookmarkEnd w:id="197"/>
      <w:bookmarkEnd w:id="198"/>
      <w:bookmarkEnd w:id="199"/>
      <w:bookmarkEnd w:id="200"/>
      <w:bookmarkEnd w:id="201"/>
    </w:p>
    <w:p w:rsidR="005A697F" w:rsidRPr="00A54924" w:rsidRDefault="005A697F" w:rsidP="000836A3">
      <w:pPr>
        <w:pStyle w:val="Heading3"/>
        <w:keepLines/>
        <w:numPr>
          <w:ilvl w:val="2"/>
          <w:numId w:val="9"/>
        </w:numPr>
        <w:spacing w:before="200" w:after="0" w:line="276" w:lineRule="auto"/>
        <w:rPr>
          <w:rFonts w:ascii="Arial" w:hAnsi="Arial" w:cs="Arial"/>
          <w:sz w:val="22"/>
          <w:szCs w:val="22"/>
          <w:lang w:val="en-GB"/>
        </w:rPr>
      </w:pPr>
      <w:bookmarkStart w:id="202" w:name="_Toc286034132"/>
      <w:bookmarkStart w:id="203" w:name="_Toc286034723"/>
      <w:bookmarkStart w:id="204" w:name="_Toc287797079"/>
      <w:r w:rsidRPr="00A54924">
        <w:rPr>
          <w:rFonts w:ascii="Arial" w:hAnsi="Arial" w:cs="Arial"/>
          <w:sz w:val="22"/>
          <w:szCs w:val="22"/>
          <w:lang w:val="en-GB"/>
        </w:rPr>
        <w:t>Medium-term outlook: operating revenue</w:t>
      </w:r>
      <w:bookmarkEnd w:id="202"/>
      <w:bookmarkEnd w:id="203"/>
      <w:bookmarkEnd w:id="204"/>
    </w:p>
    <w:p w:rsidR="00C46AC9" w:rsidRPr="00A54924" w:rsidRDefault="00C46AC9" w:rsidP="006B215D">
      <w:pPr>
        <w:spacing w:line="276" w:lineRule="auto"/>
        <w:jc w:val="both"/>
        <w:rPr>
          <w:rFonts w:cs="Arial"/>
          <w:sz w:val="22"/>
          <w:szCs w:val="22"/>
          <w:lang w:val="en-GB"/>
        </w:rPr>
      </w:pPr>
    </w:p>
    <w:p w:rsidR="005A697F" w:rsidRDefault="005A697F" w:rsidP="006B215D">
      <w:pPr>
        <w:spacing w:line="276" w:lineRule="auto"/>
        <w:jc w:val="both"/>
        <w:rPr>
          <w:rFonts w:cs="Arial"/>
          <w:sz w:val="22"/>
          <w:szCs w:val="22"/>
          <w:lang w:val="en-GB"/>
        </w:rPr>
      </w:pPr>
      <w:r w:rsidRPr="00A54924">
        <w:rPr>
          <w:rFonts w:cs="Arial"/>
          <w:sz w:val="22"/>
          <w:szCs w:val="22"/>
          <w:lang w:val="en-GB"/>
        </w:rPr>
        <w:t>The following table is a breakdown of the operating revenue over the medium-term:</w:t>
      </w:r>
    </w:p>
    <w:p w:rsidR="00A54924" w:rsidRDefault="00A54924" w:rsidP="006B215D">
      <w:pPr>
        <w:spacing w:line="276" w:lineRule="auto"/>
        <w:jc w:val="both"/>
        <w:rPr>
          <w:rFonts w:cs="Arial"/>
          <w:sz w:val="22"/>
          <w:szCs w:val="22"/>
          <w:lang w:val="en-GB"/>
        </w:rPr>
      </w:pPr>
    </w:p>
    <w:p w:rsidR="00A63D5E" w:rsidRDefault="00A63D5E" w:rsidP="006B215D">
      <w:pPr>
        <w:spacing w:line="276" w:lineRule="auto"/>
        <w:jc w:val="both"/>
        <w:rPr>
          <w:rFonts w:cs="Arial"/>
          <w:sz w:val="22"/>
          <w:szCs w:val="22"/>
          <w:lang w:val="en-GB"/>
        </w:rPr>
      </w:pPr>
    </w:p>
    <w:p w:rsidR="00A63D5E" w:rsidRDefault="00A63D5E" w:rsidP="006B215D">
      <w:pPr>
        <w:spacing w:line="276" w:lineRule="auto"/>
        <w:jc w:val="both"/>
        <w:rPr>
          <w:rFonts w:cs="Arial"/>
          <w:sz w:val="22"/>
          <w:szCs w:val="22"/>
          <w:lang w:val="en-GB"/>
        </w:rPr>
      </w:pPr>
    </w:p>
    <w:p w:rsidR="00A63D5E" w:rsidRDefault="00A63D5E" w:rsidP="006B215D">
      <w:pPr>
        <w:spacing w:line="276" w:lineRule="auto"/>
        <w:jc w:val="both"/>
        <w:rPr>
          <w:rFonts w:cs="Arial"/>
          <w:sz w:val="22"/>
          <w:szCs w:val="22"/>
          <w:lang w:val="en-GB"/>
        </w:rPr>
      </w:pPr>
    </w:p>
    <w:p w:rsidR="00A63D5E" w:rsidRPr="00A54924" w:rsidRDefault="00A63D5E" w:rsidP="006B215D">
      <w:pPr>
        <w:spacing w:line="276" w:lineRule="auto"/>
        <w:jc w:val="both"/>
        <w:rPr>
          <w:rFonts w:cs="Arial"/>
          <w:sz w:val="22"/>
          <w:szCs w:val="22"/>
          <w:lang w:val="en-GB"/>
        </w:rPr>
      </w:pPr>
    </w:p>
    <w:p w:rsidR="00B130C7" w:rsidRPr="00A54924" w:rsidRDefault="00755648" w:rsidP="00B130C7">
      <w:pPr>
        <w:pStyle w:val="Caption"/>
        <w:tabs>
          <w:tab w:val="left" w:pos="851"/>
        </w:tabs>
        <w:rPr>
          <w:rFonts w:cs="Arial"/>
          <w:color w:val="984806"/>
          <w:szCs w:val="22"/>
        </w:rPr>
      </w:pPr>
      <w:bookmarkStart w:id="205" w:name="_Toc356917102"/>
      <w:bookmarkStart w:id="206" w:name="_Toc509209335"/>
      <w:r w:rsidRPr="00A54924">
        <w:rPr>
          <w:color w:val="984806"/>
          <w:szCs w:val="22"/>
        </w:rPr>
        <w:lastRenderedPageBreak/>
        <w:t>Table 1</w:t>
      </w:r>
      <w:r w:rsidR="0045292E" w:rsidRPr="00A54924">
        <w:rPr>
          <w:color w:val="984806"/>
          <w:szCs w:val="22"/>
        </w:rPr>
        <w:t>6</w:t>
      </w:r>
      <w:r w:rsidR="00B130C7" w:rsidRPr="00A54924">
        <w:rPr>
          <w:color w:val="984806"/>
          <w:szCs w:val="22"/>
        </w:rPr>
        <w:tab/>
      </w:r>
      <w:r w:rsidR="00B130C7" w:rsidRPr="00A54924">
        <w:rPr>
          <w:rFonts w:cs="Arial"/>
          <w:color w:val="984806"/>
          <w:szCs w:val="22"/>
        </w:rPr>
        <w:t>Breakdown of the operating revenue over the medium-term</w:t>
      </w:r>
      <w:bookmarkEnd w:id="205"/>
      <w:bookmarkEnd w:id="206"/>
    </w:p>
    <w:p w:rsidR="002F3661" w:rsidRDefault="00A63D5E" w:rsidP="00243E5D">
      <w:pPr>
        <w:pStyle w:val="Caption"/>
        <w:tabs>
          <w:tab w:val="left" w:pos="851"/>
        </w:tabs>
        <w:rPr>
          <w:color w:val="984806"/>
          <w:sz w:val="20"/>
          <w:szCs w:val="20"/>
        </w:rPr>
      </w:pPr>
      <w:bookmarkStart w:id="207" w:name="_GoBack"/>
      <w:bookmarkStart w:id="208" w:name="_Toc291754636"/>
      <w:bookmarkStart w:id="209" w:name="_Toc356917103"/>
      <w:bookmarkEnd w:id="207"/>
      <w:r w:rsidRPr="00A63D5E">
        <w:rPr>
          <w:szCs w:val="20"/>
        </w:rPr>
        <w:drawing>
          <wp:inline distT="0" distB="0" distL="0" distR="0">
            <wp:extent cx="6278879" cy="4191000"/>
            <wp:effectExtent l="19050" t="0" r="7621" b="0"/>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6281436" cy="4192706"/>
                    </a:xfrm>
                    <a:prstGeom prst="rect">
                      <a:avLst/>
                    </a:prstGeom>
                    <a:noFill/>
                    <a:ln w="9525">
                      <a:noFill/>
                      <a:miter lim="800000"/>
                      <a:headEnd/>
                      <a:tailEnd/>
                    </a:ln>
                  </pic:spPr>
                </pic:pic>
              </a:graphicData>
            </a:graphic>
          </wp:inline>
        </w:drawing>
      </w:r>
    </w:p>
    <w:p w:rsidR="005A697F" w:rsidRPr="00A54924" w:rsidRDefault="005A697F" w:rsidP="000836A3">
      <w:pPr>
        <w:pStyle w:val="Heading3"/>
        <w:keepLines/>
        <w:numPr>
          <w:ilvl w:val="2"/>
          <w:numId w:val="9"/>
        </w:numPr>
        <w:spacing w:before="200" w:after="0" w:line="276" w:lineRule="auto"/>
        <w:rPr>
          <w:rFonts w:ascii="Arial" w:hAnsi="Arial" w:cs="Arial"/>
          <w:sz w:val="22"/>
          <w:szCs w:val="22"/>
          <w:lang w:val="en-GB"/>
        </w:rPr>
      </w:pPr>
      <w:bookmarkStart w:id="210" w:name="_Toc286034133"/>
      <w:bookmarkStart w:id="211" w:name="_Toc286034724"/>
      <w:bookmarkStart w:id="212" w:name="_Toc287797080"/>
      <w:bookmarkEnd w:id="208"/>
      <w:bookmarkEnd w:id="209"/>
      <w:r w:rsidRPr="00A54924">
        <w:rPr>
          <w:rFonts w:ascii="Arial" w:hAnsi="Arial" w:cs="Arial"/>
          <w:sz w:val="22"/>
          <w:szCs w:val="22"/>
          <w:lang w:val="en-GB"/>
        </w:rPr>
        <w:t>Medium-term outlook: capital revenue</w:t>
      </w:r>
      <w:bookmarkEnd w:id="210"/>
      <w:bookmarkEnd w:id="211"/>
      <w:bookmarkEnd w:id="212"/>
    </w:p>
    <w:p w:rsidR="005A697F" w:rsidRPr="00A54924" w:rsidRDefault="005A697F" w:rsidP="006B215D">
      <w:pPr>
        <w:spacing w:line="276" w:lineRule="auto"/>
        <w:jc w:val="both"/>
        <w:rPr>
          <w:rFonts w:cs="Arial"/>
          <w:sz w:val="22"/>
          <w:szCs w:val="22"/>
          <w:lang w:val="en-GB"/>
        </w:rPr>
      </w:pPr>
    </w:p>
    <w:p w:rsidR="00243E5D" w:rsidRPr="00A54924" w:rsidRDefault="005A697F" w:rsidP="005A21DF">
      <w:pPr>
        <w:spacing w:line="276" w:lineRule="auto"/>
        <w:jc w:val="both"/>
        <w:rPr>
          <w:rFonts w:cs="Arial"/>
          <w:sz w:val="22"/>
          <w:szCs w:val="22"/>
          <w:lang w:val="en-GB"/>
        </w:rPr>
      </w:pPr>
      <w:r w:rsidRPr="00A54924">
        <w:rPr>
          <w:rFonts w:cs="Arial"/>
          <w:sz w:val="22"/>
          <w:szCs w:val="22"/>
          <w:lang w:val="en-GB"/>
        </w:rPr>
        <w:t xml:space="preserve">The following table is a breakdown of the funding composition of the </w:t>
      </w:r>
      <w:r w:rsidR="004626BC">
        <w:rPr>
          <w:rFonts w:cs="Arial"/>
          <w:sz w:val="22"/>
          <w:szCs w:val="22"/>
          <w:lang w:val="en-GB"/>
        </w:rPr>
        <w:t>2020/21</w:t>
      </w:r>
      <w:r w:rsidR="0075745A">
        <w:rPr>
          <w:rFonts w:cs="Arial"/>
          <w:sz w:val="22"/>
          <w:szCs w:val="22"/>
          <w:lang w:val="en-GB"/>
        </w:rPr>
        <w:t xml:space="preserve"> </w:t>
      </w:r>
      <w:r w:rsidRPr="00A54924">
        <w:rPr>
          <w:rFonts w:cs="Arial"/>
          <w:sz w:val="22"/>
          <w:szCs w:val="22"/>
          <w:lang w:val="en-GB"/>
        </w:rPr>
        <w:t>medium-term capital programme:</w:t>
      </w:r>
    </w:p>
    <w:p w:rsidR="00243E5D" w:rsidRPr="00A54924" w:rsidRDefault="00243E5D" w:rsidP="00243E5D">
      <w:pPr>
        <w:rPr>
          <w:sz w:val="22"/>
          <w:szCs w:val="22"/>
          <w:lang w:val="en-ZA"/>
        </w:rPr>
      </w:pPr>
    </w:p>
    <w:p w:rsidR="00B130C7" w:rsidRPr="00A54924" w:rsidRDefault="00243E5D" w:rsidP="00B130C7">
      <w:pPr>
        <w:pStyle w:val="Caption"/>
        <w:tabs>
          <w:tab w:val="left" w:pos="851"/>
        </w:tabs>
        <w:rPr>
          <w:color w:val="984806"/>
          <w:szCs w:val="22"/>
        </w:rPr>
      </w:pPr>
      <w:bookmarkStart w:id="213" w:name="_Toc356917105"/>
      <w:bookmarkStart w:id="214" w:name="_Toc509209337"/>
      <w:r w:rsidRPr="00A54924">
        <w:rPr>
          <w:color w:val="984806"/>
          <w:szCs w:val="22"/>
        </w:rPr>
        <w:t xml:space="preserve">Table </w:t>
      </w:r>
      <w:r w:rsidR="0007235B" w:rsidRPr="00A54924">
        <w:rPr>
          <w:color w:val="984806"/>
          <w:szCs w:val="22"/>
        </w:rPr>
        <w:t>17</w:t>
      </w:r>
      <w:r w:rsidR="00B130C7" w:rsidRPr="00A54924">
        <w:rPr>
          <w:color w:val="984806"/>
          <w:szCs w:val="22"/>
        </w:rPr>
        <w:tab/>
        <w:t>Sources of capital revenue over the MTREF</w:t>
      </w:r>
      <w:bookmarkEnd w:id="213"/>
      <w:bookmarkEnd w:id="214"/>
    </w:p>
    <w:p w:rsidR="00A2298A" w:rsidRPr="00A2298A" w:rsidRDefault="00A63D5E" w:rsidP="00A2298A">
      <w:pPr>
        <w:rPr>
          <w:lang w:val="en-ZA"/>
        </w:rPr>
      </w:pPr>
      <w:r w:rsidRPr="00A63D5E">
        <w:drawing>
          <wp:inline distT="0" distB="0" distL="0" distR="0">
            <wp:extent cx="6324600" cy="1821180"/>
            <wp:effectExtent l="19050" t="0" r="0" b="0"/>
            <wp:docPr id="4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srcRect/>
                    <a:stretch>
                      <a:fillRect/>
                    </a:stretch>
                  </pic:blipFill>
                  <pic:spPr bwMode="auto">
                    <a:xfrm>
                      <a:off x="0" y="0"/>
                      <a:ext cx="6324600" cy="1821180"/>
                    </a:xfrm>
                    <a:prstGeom prst="rect">
                      <a:avLst/>
                    </a:prstGeom>
                    <a:noFill/>
                    <a:ln w="9525">
                      <a:noFill/>
                      <a:miter lim="800000"/>
                      <a:headEnd/>
                      <a:tailEnd/>
                    </a:ln>
                  </pic:spPr>
                </pic:pic>
              </a:graphicData>
            </a:graphic>
          </wp:inline>
        </w:drawing>
      </w:r>
    </w:p>
    <w:p w:rsidR="00E80F5A" w:rsidRDefault="00E80F5A" w:rsidP="006B215D">
      <w:pPr>
        <w:spacing w:line="276" w:lineRule="auto"/>
        <w:jc w:val="both"/>
        <w:rPr>
          <w:sz w:val="20"/>
          <w:szCs w:val="20"/>
        </w:rPr>
      </w:pPr>
    </w:p>
    <w:p w:rsidR="005C6713" w:rsidRDefault="005C6713" w:rsidP="006B215D">
      <w:pPr>
        <w:spacing w:line="276" w:lineRule="auto"/>
        <w:jc w:val="both"/>
        <w:rPr>
          <w:sz w:val="22"/>
          <w:szCs w:val="22"/>
        </w:rPr>
      </w:pPr>
      <w:r w:rsidRPr="00A54924">
        <w:rPr>
          <w:sz w:val="22"/>
          <w:szCs w:val="22"/>
        </w:rPr>
        <w:t>The c</w:t>
      </w:r>
      <w:r w:rsidR="00E80F5A" w:rsidRPr="00A54924">
        <w:rPr>
          <w:sz w:val="22"/>
          <w:szCs w:val="22"/>
        </w:rPr>
        <w:t>apital programme</w:t>
      </w:r>
      <w:r w:rsidR="00A54924">
        <w:rPr>
          <w:sz w:val="22"/>
          <w:szCs w:val="22"/>
        </w:rPr>
        <w:t>s are</w:t>
      </w:r>
      <w:r w:rsidR="0075745A">
        <w:rPr>
          <w:sz w:val="22"/>
          <w:szCs w:val="22"/>
        </w:rPr>
        <w:t xml:space="preserve"> funded from National</w:t>
      </w:r>
      <w:r w:rsidR="00CC20B8" w:rsidRPr="00A54924">
        <w:rPr>
          <w:sz w:val="22"/>
          <w:szCs w:val="22"/>
        </w:rPr>
        <w:t xml:space="preserve"> </w:t>
      </w:r>
      <w:r w:rsidR="00E80F5A" w:rsidRPr="00A54924">
        <w:rPr>
          <w:sz w:val="22"/>
          <w:szCs w:val="22"/>
        </w:rPr>
        <w:t>G</w:t>
      </w:r>
      <w:r w:rsidRPr="00A54924">
        <w:rPr>
          <w:sz w:val="22"/>
          <w:szCs w:val="22"/>
        </w:rPr>
        <w:t>rants and transfers</w:t>
      </w:r>
      <w:r w:rsidR="00CC20B8" w:rsidRPr="00A54924">
        <w:rPr>
          <w:sz w:val="22"/>
          <w:szCs w:val="22"/>
        </w:rPr>
        <w:t>, as well as internally generated funds</w:t>
      </w:r>
      <w:r w:rsidR="0075745A">
        <w:rPr>
          <w:sz w:val="22"/>
          <w:szCs w:val="22"/>
        </w:rPr>
        <w:t xml:space="preserve"> and Borrowings</w:t>
      </w:r>
      <w:r w:rsidR="000039B3" w:rsidRPr="00A54924">
        <w:rPr>
          <w:sz w:val="22"/>
          <w:szCs w:val="22"/>
        </w:rPr>
        <w:t>.</w:t>
      </w:r>
      <w:r w:rsidR="0075745A">
        <w:rPr>
          <w:sz w:val="22"/>
          <w:szCs w:val="22"/>
        </w:rPr>
        <w:t xml:space="preserve"> </w:t>
      </w:r>
      <w:r w:rsidR="00A54924">
        <w:rPr>
          <w:sz w:val="22"/>
          <w:szCs w:val="22"/>
        </w:rPr>
        <w:t>Internally generated funds comprise of Water and Sanitation Service Charges.</w:t>
      </w:r>
    </w:p>
    <w:p w:rsidR="00A54924" w:rsidRDefault="00A54924" w:rsidP="006B215D">
      <w:pPr>
        <w:spacing w:line="276" w:lineRule="auto"/>
        <w:jc w:val="both"/>
        <w:rPr>
          <w:sz w:val="22"/>
          <w:szCs w:val="22"/>
        </w:rPr>
      </w:pPr>
    </w:p>
    <w:p w:rsidR="00351A24" w:rsidRDefault="00351A24" w:rsidP="006B215D">
      <w:pPr>
        <w:spacing w:line="276" w:lineRule="auto"/>
        <w:jc w:val="both"/>
        <w:rPr>
          <w:sz w:val="22"/>
          <w:szCs w:val="22"/>
        </w:rPr>
      </w:pPr>
    </w:p>
    <w:p w:rsidR="005A697F" w:rsidRPr="005358DD" w:rsidRDefault="005A697F" w:rsidP="000836A3">
      <w:pPr>
        <w:pStyle w:val="Heading3"/>
        <w:keepLines/>
        <w:numPr>
          <w:ilvl w:val="2"/>
          <w:numId w:val="9"/>
        </w:numPr>
        <w:spacing w:before="200" w:after="0" w:line="276" w:lineRule="auto"/>
        <w:rPr>
          <w:rFonts w:ascii="Arial" w:hAnsi="Arial" w:cs="Arial"/>
          <w:sz w:val="22"/>
          <w:szCs w:val="22"/>
          <w:lang w:val="en-GB"/>
        </w:rPr>
      </w:pPr>
      <w:bookmarkStart w:id="215" w:name="_Toc286034134"/>
      <w:bookmarkStart w:id="216" w:name="_Toc286034725"/>
      <w:bookmarkStart w:id="217" w:name="_Toc287797081"/>
      <w:r w:rsidRPr="005358DD">
        <w:rPr>
          <w:rFonts w:ascii="Arial" w:hAnsi="Arial" w:cs="Arial"/>
          <w:sz w:val="22"/>
          <w:szCs w:val="22"/>
          <w:lang w:val="en-GB"/>
        </w:rPr>
        <w:lastRenderedPageBreak/>
        <w:t>Cash Flow Management</w:t>
      </w:r>
      <w:bookmarkEnd w:id="215"/>
      <w:bookmarkEnd w:id="216"/>
      <w:bookmarkEnd w:id="217"/>
    </w:p>
    <w:p w:rsidR="005A697F" w:rsidRPr="00A54924" w:rsidRDefault="005A697F" w:rsidP="006B215D">
      <w:pPr>
        <w:spacing w:line="276" w:lineRule="auto"/>
        <w:jc w:val="both"/>
        <w:rPr>
          <w:rFonts w:cs="Arial"/>
          <w:b/>
          <w:sz w:val="22"/>
          <w:szCs w:val="22"/>
          <w:lang w:val="en-GB"/>
        </w:rPr>
      </w:pPr>
    </w:p>
    <w:p w:rsidR="005A697F" w:rsidRPr="00A54924" w:rsidRDefault="005A697F" w:rsidP="006B215D">
      <w:pPr>
        <w:spacing w:line="276" w:lineRule="auto"/>
        <w:jc w:val="both"/>
        <w:rPr>
          <w:rFonts w:cs="Arial"/>
          <w:sz w:val="22"/>
          <w:szCs w:val="22"/>
        </w:rPr>
      </w:pPr>
      <w:r w:rsidRPr="00A54924">
        <w:rPr>
          <w:rFonts w:cs="Arial"/>
          <w:sz w:val="22"/>
          <w:szCs w:val="22"/>
        </w:rPr>
        <w:t>Cash flow management and forecasting is a critical step in determining if the budget is funded over the medium-term. The table below is consistent with international standards of good financial management practice and also improves understandability for councillors and management. Some specific features include:</w:t>
      </w:r>
    </w:p>
    <w:p w:rsidR="005A697F" w:rsidRPr="002A47F4" w:rsidRDefault="005A697F" w:rsidP="006B215D">
      <w:pPr>
        <w:spacing w:line="276" w:lineRule="auto"/>
        <w:jc w:val="both"/>
        <w:rPr>
          <w:rFonts w:cs="Arial"/>
          <w:sz w:val="22"/>
          <w:szCs w:val="22"/>
        </w:rPr>
      </w:pPr>
    </w:p>
    <w:p w:rsidR="005A697F" w:rsidRPr="002A47F4"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2A47F4">
        <w:rPr>
          <w:rFonts w:cs="Arial"/>
          <w:sz w:val="22"/>
          <w:szCs w:val="22"/>
        </w:rPr>
        <w:t>Clear separation of receipts and payments within each cash flow category;</w:t>
      </w:r>
    </w:p>
    <w:p w:rsidR="005A697F" w:rsidRPr="002A47F4"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2A47F4">
        <w:rPr>
          <w:rFonts w:cs="Arial"/>
          <w:sz w:val="22"/>
          <w:szCs w:val="22"/>
        </w:rPr>
        <w:t xml:space="preserve">Clear separation of capital and operating receipts from government, which also enables cash from ‘Ratepayers and other’ to be provide for as cash inflow based on actual performance. In other words the </w:t>
      </w:r>
      <w:r w:rsidRPr="002A47F4">
        <w:rPr>
          <w:rFonts w:cs="Arial"/>
          <w:i/>
          <w:sz w:val="22"/>
          <w:szCs w:val="22"/>
        </w:rPr>
        <w:t>actual collection rate</w:t>
      </w:r>
      <w:r w:rsidRPr="002A47F4">
        <w:rPr>
          <w:rFonts w:cs="Arial"/>
          <w:sz w:val="22"/>
          <w:szCs w:val="22"/>
        </w:rPr>
        <w:t xml:space="preserve"> of billed revenue., and</w:t>
      </w:r>
    </w:p>
    <w:p w:rsidR="005A697F" w:rsidRPr="002A47F4"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2A47F4">
        <w:rPr>
          <w:rFonts w:cs="Arial"/>
          <w:sz w:val="22"/>
          <w:szCs w:val="22"/>
        </w:rPr>
        <w:t>Separation of borrowing and loan repayments (no set-off), to assist with MFMA compliance assessment regarding the use of long term borrowing (debt).</w:t>
      </w:r>
    </w:p>
    <w:p w:rsidR="00CC20B8" w:rsidRPr="002A47F4" w:rsidRDefault="00CC20B8">
      <w:pPr>
        <w:rPr>
          <w:rFonts w:eastAsia="Calibri"/>
          <w:b/>
          <w:bCs/>
          <w:color w:val="984806"/>
          <w:sz w:val="22"/>
          <w:szCs w:val="22"/>
          <w:lang w:val="en-ZA"/>
        </w:rPr>
      </w:pPr>
      <w:bookmarkStart w:id="218" w:name="_Toc356917106"/>
    </w:p>
    <w:p w:rsidR="005C6713" w:rsidRPr="002A47F4" w:rsidRDefault="002D0787" w:rsidP="005C6713">
      <w:pPr>
        <w:pStyle w:val="Caption"/>
        <w:tabs>
          <w:tab w:val="left" w:pos="851"/>
        </w:tabs>
        <w:rPr>
          <w:rFonts w:cs="Arial"/>
          <w:color w:val="984806"/>
          <w:szCs w:val="22"/>
        </w:rPr>
      </w:pPr>
      <w:bookmarkStart w:id="219" w:name="_Toc509209338"/>
      <w:r w:rsidRPr="002A47F4">
        <w:rPr>
          <w:color w:val="984806"/>
          <w:szCs w:val="22"/>
        </w:rPr>
        <w:t xml:space="preserve">Table </w:t>
      </w:r>
      <w:r w:rsidR="00DA6396" w:rsidRPr="002A47F4">
        <w:rPr>
          <w:color w:val="984806"/>
          <w:szCs w:val="22"/>
        </w:rPr>
        <w:t>18</w:t>
      </w:r>
      <w:r w:rsidR="005C6713" w:rsidRPr="002A47F4">
        <w:rPr>
          <w:color w:val="984806"/>
          <w:szCs w:val="22"/>
        </w:rPr>
        <w:tab/>
      </w:r>
      <w:r w:rsidR="005C6713" w:rsidRPr="00DE2254">
        <w:rPr>
          <w:rFonts w:cs="Arial"/>
          <w:color w:val="984806"/>
          <w:szCs w:val="22"/>
        </w:rPr>
        <w:t>MBRR NT A7 - Budget cash flow statement</w:t>
      </w:r>
      <w:bookmarkEnd w:id="218"/>
      <w:bookmarkEnd w:id="219"/>
    </w:p>
    <w:p w:rsidR="002D0787" w:rsidRDefault="00351A24" w:rsidP="002D0787">
      <w:pPr>
        <w:rPr>
          <w:lang w:val="en-ZA"/>
        </w:rPr>
      </w:pPr>
      <w:r w:rsidRPr="00351A24">
        <w:drawing>
          <wp:inline distT="0" distB="0" distL="0" distR="0">
            <wp:extent cx="6385560" cy="5913120"/>
            <wp:effectExtent l="19050" t="0" r="0" b="0"/>
            <wp:docPr id="4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srcRect/>
                    <a:stretch>
                      <a:fillRect/>
                    </a:stretch>
                  </pic:blipFill>
                  <pic:spPr bwMode="auto">
                    <a:xfrm>
                      <a:off x="0" y="0"/>
                      <a:ext cx="6388355" cy="5915708"/>
                    </a:xfrm>
                    <a:prstGeom prst="rect">
                      <a:avLst/>
                    </a:prstGeom>
                    <a:noFill/>
                    <a:ln w="9525">
                      <a:noFill/>
                      <a:miter lim="800000"/>
                      <a:headEnd/>
                      <a:tailEnd/>
                    </a:ln>
                  </pic:spPr>
                </pic:pic>
              </a:graphicData>
            </a:graphic>
          </wp:inline>
        </w:drawing>
      </w:r>
    </w:p>
    <w:p w:rsidR="005A697F" w:rsidRPr="005358DD" w:rsidRDefault="005A697F" w:rsidP="000836A3">
      <w:pPr>
        <w:pStyle w:val="Heading3"/>
        <w:keepLines/>
        <w:numPr>
          <w:ilvl w:val="2"/>
          <w:numId w:val="9"/>
        </w:numPr>
        <w:spacing w:before="200" w:after="0" w:line="276" w:lineRule="auto"/>
        <w:rPr>
          <w:rFonts w:ascii="Arial" w:hAnsi="Arial" w:cs="Arial"/>
          <w:sz w:val="22"/>
          <w:szCs w:val="22"/>
          <w:lang w:val="en-GB"/>
        </w:rPr>
      </w:pPr>
      <w:bookmarkStart w:id="220" w:name="_Toc286034135"/>
      <w:bookmarkStart w:id="221" w:name="_Toc286034726"/>
      <w:bookmarkStart w:id="222" w:name="_Toc287797082"/>
      <w:r w:rsidRPr="005358DD">
        <w:rPr>
          <w:rFonts w:ascii="Arial" w:hAnsi="Arial" w:cs="Arial"/>
          <w:sz w:val="22"/>
          <w:szCs w:val="22"/>
          <w:lang w:val="en-GB"/>
        </w:rPr>
        <w:lastRenderedPageBreak/>
        <w:t>Cash Backed Reserves/Accumulated Surplus Reconciliation</w:t>
      </w:r>
      <w:bookmarkEnd w:id="220"/>
      <w:bookmarkEnd w:id="221"/>
      <w:bookmarkEnd w:id="222"/>
    </w:p>
    <w:p w:rsidR="005A697F" w:rsidRPr="002A47F4" w:rsidRDefault="005A697F" w:rsidP="006B215D">
      <w:pPr>
        <w:spacing w:line="276" w:lineRule="auto"/>
        <w:jc w:val="both"/>
        <w:rPr>
          <w:rFonts w:cs="Arial"/>
          <w:sz w:val="22"/>
          <w:szCs w:val="22"/>
          <w:lang w:val="en-GB"/>
        </w:rPr>
      </w:pPr>
    </w:p>
    <w:p w:rsidR="005A697F" w:rsidRPr="002A47F4" w:rsidRDefault="005A697F" w:rsidP="006B215D">
      <w:pPr>
        <w:spacing w:line="276" w:lineRule="auto"/>
        <w:jc w:val="both"/>
        <w:rPr>
          <w:rFonts w:cs="Arial"/>
          <w:sz w:val="22"/>
          <w:szCs w:val="22"/>
          <w:lang w:val="en-GB"/>
        </w:rPr>
      </w:pPr>
      <w:r w:rsidRPr="002A47F4">
        <w:rPr>
          <w:rFonts w:cs="Arial"/>
          <w:sz w:val="22"/>
          <w:szCs w:val="22"/>
          <w:lang w:val="en-GB"/>
        </w:rPr>
        <w:t xml:space="preserve">This following table meets the requirements of MFMA Circular </w:t>
      </w:r>
      <w:r w:rsidR="006A20FF" w:rsidRPr="002A47F4">
        <w:rPr>
          <w:rFonts w:cs="Arial"/>
          <w:sz w:val="22"/>
          <w:szCs w:val="22"/>
          <w:lang w:val="en-GB"/>
        </w:rPr>
        <w:t>72</w:t>
      </w:r>
      <w:r w:rsidRPr="002A47F4">
        <w:rPr>
          <w:rFonts w:cs="Arial"/>
          <w:sz w:val="22"/>
          <w:szCs w:val="22"/>
          <w:lang w:val="en-GB"/>
        </w:rPr>
        <w:t xml:space="preserve"> which deals with the funding of a municipal budget in accordance with sections 18 and 19 of the MFMA.  The table seeks to answer three key questions regarding the use and availability of cash: </w:t>
      </w:r>
    </w:p>
    <w:p w:rsidR="005A697F" w:rsidRPr="002A47F4" w:rsidRDefault="005A697F" w:rsidP="006B215D">
      <w:pPr>
        <w:spacing w:line="276" w:lineRule="auto"/>
        <w:jc w:val="both"/>
        <w:rPr>
          <w:rFonts w:cs="Arial"/>
          <w:sz w:val="22"/>
          <w:szCs w:val="22"/>
        </w:rPr>
      </w:pPr>
    </w:p>
    <w:p w:rsidR="005A697F" w:rsidRPr="002A47F4"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2A47F4">
        <w:rPr>
          <w:rFonts w:cs="Arial"/>
          <w:sz w:val="22"/>
          <w:szCs w:val="22"/>
        </w:rPr>
        <w:t>What are the predicted cash and investments that are available at the end of the budget year?</w:t>
      </w:r>
    </w:p>
    <w:p w:rsidR="005A697F" w:rsidRPr="002A47F4"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2A47F4">
        <w:rPr>
          <w:rFonts w:cs="Arial"/>
          <w:sz w:val="22"/>
          <w:szCs w:val="22"/>
        </w:rPr>
        <w:t>How are those funds used?</w:t>
      </w:r>
    </w:p>
    <w:p w:rsidR="005A697F" w:rsidRPr="002A47F4" w:rsidRDefault="005A697F" w:rsidP="00C36EA4">
      <w:pPr>
        <w:numPr>
          <w:ilvl w:val="0"/>
          <w:numId w:val="3"/>
        </w:numPr>
        <w:tabs>
          <w:tab w:val="clear" w:pos="720"/>
          <w:tab w:val="num" w:pos="567"/>
        </w:tabs>
        <w:autoSpaceDE w:val="0"/>
        <w:autoSpaceDN w:val="0"/>
        <w:adjustRightInd w:val="0"/>
        <w:spacing w:line="276" w:lineRule="auto"/>
        <w:ind w:left="567" w:hanging="567"/>
        <w:jc w:val="both"/>
        <w:rPr>
          <w:rFonts w:cs="Arial"/>
          <w:sz w:val="22"/>
          <w:szCs w:val="22"/>
        </w:rPr>
      </w:pPr>
      <w:r w:rsidRPr="002A47F4">
        <w:rPr>
          <w:rFonts w:cs="Arial"/>
          <w:sz w:val="22"/>
          <w:szCs w:val="22"/>
        </w:rPr>
        <w:t>What is the net funds available or funding shortfall?</w:t>
      </w:r>
    </w:p>
    <w:p w:rsidR="005A697F" w:rsidRPr="002A47F4" w:rsidRDefault="005A697F" w:rsidP="006B215D">
      <w:pPr>
        <w:spacing w:line="276" w:lineRule="auto"/>
        <w:jc w:val="both"/>
        <w:rPr>
          <w:rFonts w:cs="Arial"/>
          <w:sz w:val="22"/>
          <w:szCs w:val="22"/>
          <w:lang w:val="en-GB"/>
        </w:rPr>
      </w:pPr>
    </w:p>
    <w:p w:rsidR="005C6713" w:rsidRPr="002A47F4" w:rsidRDefault="005A697F" w:rsidP="006B215D">
      <w:pPr>
        <w:spacing w:line="276" w:lineRule="auto"/>
        <w:jc w:val="both"/>
        <w:rPr>
          <w:rFonts w:cs="Arial"/>
          <w:sz w:val="22"/>
          <w:szCs w:val="22"/>
          <w:lang w:val="en-GB"/>
        </w:rPr>
      </w:pPr>
      <w:r w:rsidRPr="002A47F4">
        <w:rPr>
          <w:rFonts w:cs="Arial"/>
          <w:sz w:val="22"/>
          <w:szCs w:val="22"/>
          <w:lang w:val="en-GB"/>
        </w:rPr>
        <w:t>A surplus would indicate the cash-backed accumulated surplus that was/is available.  A shortfall (applications &gt; cash and investments) is indicative of non-compliance with section 18 of the MFMA requirement that the municipality’s budget must be ‘funded’.</w:t>
      </w:r>
    </w:p>
    <w:p w:rsidR="00785FAF" w:rsidRPr="002A47F4" w:rsidRDefault="00785FAF" w:rsidP="006B215D">
      <w:pPr>
        <w:spacing w:line="276" w:lineRule="auto"/>
        <w:jc w:val="both"/>
        <w:rPr>
          <w:rFonts w:cs="Arial"/>
          <w:sz w:val="22"/>
          <w:szCs w:val="22"/>
          <w:lang w:val="en-GB"/>
        </w:rPr>
      </w:pPr>
    </w:p>
    <w:p w:rsidR="00785FAF" w:rsidRPr="002A47F4" w:rsidRDefault="005A697F" w:rsidP="006B215D">
      <w:pPr>
        <w:spacing w:line="276" w:lineRule="auto"/>
        <w:jc w:val="both"/>
        <w:rPr>
          <w:rFonts w:cs="Arial"/>
          <w:sz w:val="22"/>
          <w:szCs w:val="22"/>
          <w:lang w:val="en-GB"/>
        </w:rPr>
      </w:pPr>
      <w:r w:rsidRPr="002A47F4">
        <w:rPr>
          <w:rFonts w:cs="Arial"/>
          <w:sz w:val="22"/>
          <w:szCs w:val="22"/>
          <w:lang w:val="en-GB"/>
        </w:rPr>
        <w:t>Non-compliance with section 18 is assumed because a shortfall would indirectly indicate that the annual budget is not appropriately funded (budgeted spending is greater than funds available or to be collected).   It is also important to analyse trends to understand the consequences, e.g. the budget year might indicate a small surplus situation, which in itself is an appropriate outcome, but if in prior years there were much larger surpluses then this negative trend may be a concern that requires closer examination.</w:t>
      </w:r>
    </w:p>
    <w:p w:rsidR="00CC20B8" w:rsidRPr="002A47F4" w:rsidRDefault="00CC20B8">
      <w:pPr>
        <w:rPr>
          <w:rFonts w:eastAsia="Calibri"/>
          <w:b/>
          <w:bCs/>
          <w:color w:val="984806"/>
          <w:sz w:val="22"/>
          <w:szCs w:val="22"/>
          <w:lang w:val="en-ZA"/>
        </w:rPr>
      </w:pPr>
      <w:bookmarkStart w:id="223" w:name="_Toc356917107"/>
    </w:p>
    <w:p w:rsidR="005C6713" w:rsidRPr="002A47F4" w:rsidRDefault="0076054E" w:rsidP="005C6713">
      <w:pPr>
        <w:pStyle w:val="Caption"/>
        <w:tabs>
          <w:tab w:val="left" w:pos="851"/>
        </w:tabs>
        <w:rPr>
          <w:rFonts w:cs="Arial"/>
          <w:color w:val="984806"/>
          <w:szCs w:val="22"/>
        </w:rPr>
      </w:pPr>
      <w:bookmarkStart w:id="224" w:name="_Toc509209339"/>
      <w:r w:rsidRPr="00DE2254">
        <w:rPr>
          <w:color w:val="984806"/>
          <w:szCs w:val="22"/>
        </w:rPr>
        <w:t xml:space="preserve">Table </w:t>
      </w:r>
      <w:r w:rsidR="00DA6396" w:rsidRPr="00DE2254">
        <w:rPr>
          <w:color w:val="984806"/>
          <w:szCs w:val="22"/>
        </w:rPr>
        <w:t>19</w:t>
      </w:r>
      <w:r w:rsidR="005C6713" w:rsidRPr="00DE2254">
        <w:rPr>
          <w:color w:val="984806"/>
          <w:szCs w:val="22"/>
        </w:rPr>
        <w:tab/>
      </w:r>
      <w:r w:rsidR="005C6713" w:rsidRPr="00DE2254">
        <w:rPr>
          <w:rFonts w:cs="Arial"/>
          <w:color w:val="984806"/>
          <w:szCs w:val="22"/>
        </w:rPr>
        <w:t>MBRR NT A8 - Cash backed reserves/accumulated surplus reconciliation</w:t>
      </w:r>
      <w:bookmarkEnd w:id="223"/>
      <w:bookmarkEnd w:id="224"/>
    </w:p>
    <w:p w:rsidR="002D0787" w:rsidRPr="002D0787" w:rsidRDefault="00351A24" w:rsidP="002D0787">
      <w:pPr>
        <w:rPr>
          <w:lang w:val="en-ZA"/>
        </w:rPr>
      </w:pPr>
      <w:r w:rsidRPr="00351A24">
        <w:drawing>
          <wp:inline distT="0" distB="0" distL="0" distR="0">
            <wp:extent cx="6404610" cy="4533900"/>
            <wp:effectExtent l="19050" t="0" r="0" b="0"/>
            <wp:docPr id="4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6406605" cy="4535312"/>
                    </a:xfrm>
                    <a:prstGeom prst="rect">
                      <a:avLst/>
                    </a:prstGeom>
                    <a:noFill/>
                    <a:ln w="9525">
                      <a:noFill/>
                      <a:miter lim="800000"/>
                      <a:headEnd/>
                      <a:tailEnd/>
                    </a:ln>
                  </pic:spPr>
                </pic:pic>
              </a:graphicData>
            </a:graphic>
          </wp:inline>
        </w:drawing>
      </w:r>
    </w:p>
    <w:p w:rsidR="005A697F" w:rsidRPr="002A47F4" w:rsidRDefault="005A697F" w:rsidP="000836A3">
      <w:pPr>
        <w:pStyle w:val="Heading3"/>
        <w:keepLines/>
        <w:numPr>
          <w:ilvl w:val="2"/>
          <w:numId w:val="9"/>
        </w:numPr>
        <w:spacing w:before="200" w:after="0" w:line="276" w:lineRule="auto"/>
        <w:rPr>
          <w:rFonts w:ascii="Arial" w:hAnsi="Arial" w:cs="Arial"/>
          <w:sz w:val="22"/>
          <w:szCs w:val="22"/>
          <w:lang w:val="en-GB"/>
        </w:rPr>
      </w:pPr>
      <w:bookmarkStart w:id="225" w:name="_Toc286034136"/>
      <w:bookmarkStart w:id="226" w:name="_Toc286034727"/>
      <w:bookmarkStart w:id="227" w:name="_Toc287797083"/>
      <w:r w:rsidRPr="002A47F4">
        <w:rPr>
          <w:rFonts w:ascii="Arial" w:hAnsi="Arial" w:cs="Arial"/>
          <w:sz w:val="22"/>
          <w:szCs w:val="22"/>
          <w:lang w:val="en-GB"/>
        </w:rPr>
        <w:lastRenderedPageBreak/>
        <w:t>Funding compliance measurement</w:t>
      </w:r>
      <w:bookmarkEnd w:id="225"/>
      <w:bookmarkEnd w:id="226"/>
      <w:bookmarkEnd w:id="227"/>
    </w:p>
    <w:p w:rsidR="001D260D" w:rsidRPr="002A47F4" w:rsidRDefault="001D260D" w:rsidP="001D260D">
      <w:pPr>
        <w:spacing w:line="276" w:lineRule="auto"/>
        <w:jc w:val="both"/>
        <w:rPr>
          <w:rFonts w:cs="Arial"/>
          <w:sz w:val="22"/>
          <w:szCs w:val="22"/>
          <w:lang w:val="en-GB"/>
        </w:rPr>
      </w:pPr>
    </w:p>
    <w:p w:rsidR="005A697F" w:rsidRPr="002A47F4" w:rsidRDefault="005A697F" w:rsidP="001D260D">
      <w:pPr>
        <w:spacing w:line="276" w:lineRule="auto"/>
        <w:jc w:val="both"/>
        <w:rPr>
          <w:rFonts w:cs="Arial"/>
          <w:sz w:val="22"/>
          <w:szCs w:val="22"/>
        </w:rPr>
      </w:pPr>
      <w:r w:rsidRPr="002A47F4">
        <w:rPr>
          <w:rFonts w:cs="Arial"/>
          <w:sz w:val="22"/>
          <w:szCs w:val="22"/>
        </w:rPr>
        <w:t xml:space="preserve">National </w:t>
      </w:r>
      <w:r w:rsidRPr="002A47F4">
        <w:rPr>
          <w:rFonts w:cs="Arial"/>
          <w:sz w:val="22"/>
          <w:szCs w:val="22"/>
          <w:lang w:val="en-GB"/>
        </w:rPr>
        <w:t>Treasury</w:t>
      </w:r>
      <w:r w:rsidRPr="002A47F4">
        <w:rPr>
          <w:rFonts w:cs="Arial"/>
          <w:sz w:val="22"/>
          <w:szCs w:val="22"/>
        </w:rPr>
        <w:t xml:space="preserve"> requires that the municipality assess its financial sustainability against fourteen different measures that look at various aspects of the financial health of the municipality.  These measures are </w:t>
      </w:r>
      <w:r w:rsidRPr="002A47F4">
        <w:rPr>
          <w:rFonts w:cs="Arial"/>
          <w:sz w:val="22"/>
          <w:szCs w:val="22"/>
          <w:lang w:val="en-GB"/>
        </w:rPr>
        <w:t>contained in the following table.  All the information comes directly from the annual budgeted statements of</w:t>
      </w:r>
      <w:r w:rsidRPr="002A47F4">
        <w:rPr>
          <w:rFonts w:cs="Arial"/>
          <w:sz w:val="22"/>
          <w:szCs w:val="22"/>
        </w:rPr>
        <w:t xml:space="preserve"> financial performance, financial position and cash flows.  The funding compliance measurement table essentially measures the degree to which the proposed budget complies with the funding requirements of the MFMA.  Each of the measures is discussed below.</w:t>
      </w:r>
    </w:p>
    <w:p w:rsidR="001D260D" w:rsidRPr="002A47F4" w:rsidRDefault="001D260D" w:rsidP="000836A3">
      <w:pPr>
        <w:pStyle w:val="Heading4"/>
        <w:numPr>
          <w:ilvl w:val="3"/>
          <w:numId w:val="9"/>
        </w:numPr>
        <w:rPr>
          <w:rFonts w:ascii="Arial" w:hAnsi="Arial" w:cs="Arial"/>
          <w:b w:val="0"/>
          <w:bCs w:val="0"/>
          <w:color w:val="auto"/>
        </w:rPr>
      </w:pPr>
      <w:bookmarkStart w:id="228" w:name="_Toc286034137"/>
      <w:bookmarkStart w:id="229" w:name="_Toc286034728"/>
      <w:r w:rsidRPr="002A47F4">
        <w:rPr>
          <w:rFonts w:ascii="Arial" w:hAnsi="Arial" w:cs="Arial"/>
          <w:b w:val="0"/>
          <w:bCs w:val="0"/>
          <w:color w:val="auto"/>
        </w:rPr>
        <w:t>Cash/cash equivalent position</w:t>
      </w:r>
      <w:bookmarkEnd w:id="228"/>
      <w:bookmarkEnd w:id="229"/>
    </w:p>
    <w:p w:rsidR="001D260D" w:rsidRPr="002A47F4" w:rsidRDefault="001D260D" w:rsidP="001D260D">
      <w:pPr>
        <w:autoSpaceDE w:val="0"/>
        <w:autoSpaceDN w:val="0"/>
        <w:adjustRightInd w:val="0"/>
        <w:spacing w:line="276" w:lineRule="auto"/>
        <w:jc w:val="both"/>
        <w:rPr>
          <w:rFonts w:cs="Arial"/>
          <w:sz w:val="22"/>
          <w:szCs w:val="22"/>
        </w:rPr>
      </w:pPr>
      <w:r w:rsidRPr="002A47F4">
        <w:rPr>
          <w:rFonts w:cs="Arial"/>
          <w:bCs/>
          <w:sz w:val="22"/>
          <w:szCs w:val="22"/>
        </w:rPr>
        <w:t xml:space="preserve">The Municipality’s </w:t>
      </w:r>
      <w:r w:rsidRPr="002A47F4">
        <w:rPr>
          <w:rFonts w:cs="Arial"/>
          <w:sz w:val="22"/>
          <w:szCs w:val="22"/>
        </w:rPr>
        <w:t>forecast cash position was discussed as part of the budgeted cash flow statement.  A ‘positive’ cash position, for each year of the MTREF would generally be a minimum requirement, subject to the planned application of these funds such as cash-backing of reserves and working capital requirements.</w:t>
      </w:r>
    </w:p>
    <w:p w:rsidR="001D260D" w:rsidRPr="002A47F4" w:rsidRDefault="001D260D" w:rsidP="001D260D">
      <w:pPr>
        <w:autoSpaceDE w:val="0"/>
        <w:autoSpaceDN w:val="0"/>
        <w:adjustRightInd w:val="0"/>
        <w:spacing w:line="276" w:lineRule="auto"/>
        <w:jc w:val="both"/>
        <w:rPr>
          <w:rFonts w:cs="Arial"/>
          <w:sz w:val="22"/>
          <w:szCs w:val="22"/>
        </w:rPr>
      </w:pPr>
    </w:p>
    <w:p w:rsidR="001D260D" w:rsidRPr="002A47F4" w:rsidRDefault="001D260D" w:rsidP="001D260D">
      <w:pPr>
        <w:autoSpaceDE w:val="0"/>
        <w:autoSpaceDN w:val="0"/>
        <w:adjustRightInd w:val="0"/>
        <w:spacing w:line="276" w:lineRule="auto"/>
        <w:jc w:val="both"/>
        <w:rPr>
          <w:rFonts w:cs="Arial"/>
          <w:sz w:val="22"/>
          <w:szCs w:val="22"/>
        </w:rPr>
      </w:pPr>
      <w:r w:rsidRPr="002A47F4">
        <w:rPr>
          <w:rFonts w:cs="Arial"/>
          <w:sz w:val="22"/>
          <w:szCs w:val="22"/>
        </w:rPr>
        <w:t xml:space="preserve">If the municipality’s forecast cash position is negative, for any year of the medium term budget, the budget is very unlikely to meet MFMA requirements or be sustainable and could indicate a risk of non-compliance with section 45 of the MFMA which deals with the repayment of short term debt at the end of the financial year.  </w:t>
      </w:r>
    </w:p>
    <w:p w:rsidR="001D260D" w:rsidRPr="002A47F4" w:rsidRDefault="001D260D" w:rsidP="000836A3">
      <w:pPr>
        <w:pStyle w:val="Heading4"/>
        <w:numPr>
          <w:ilvl w:val="3"/>
          <w:numId w:val="9"/>
        </w:numPr>
        <w:rPr>
          <w:rFonts w:ascii="Arial" w:hAnsi="Arial" w:cs="Arial"/>
          <w:b w:val="0"/>
          <w:bCs w:val="0"/>
          <w:color w:val="auto"/>
        </w:rPr>
      </w:pPr>
      <w:bookmarkStart w:id="230" w:name="_Toc286034138"/>
      <w:bookmarkStart w:id="231" w:name="_Toc286034729"/>
      <w:r w:rsidRPr="002A47F4">
        <w:rPr>
          <w:rFonts w:ascii="Arial" w:hAnsi="Arial" w:cs="Arial"/>
          <w:b w:val="0"/>
          <w:bCs w:val="0"/>
          <w:color w:val="auto"/>
        </w:rPr>
        <w:t>Cash plus investments less application of funds</w:t>
      </w:r>
      <w:bookmarkEnd w:id="230"/>
      <w:bookmarkEnd w:id="231"/>
    </w:p>
    <w:p w:rsidR="001D260D" w:rsidRPr="002A47F4" w:rsidRDefault="001D260D" w:rsidP="001D260D">
      <w:pPr>
        <w:autoSpaceDE w:val="0"/>
        <w:autoSpaceDN w:val="0"/>
        <w:adjustRightInd w:val="0"/>
        <w:spacing w:line="276" w:lineRule="auto"/>
        <w:jc w:val="both"/>
        <w:rPr>
          <w:rFonts w:cs="Arial"/>
          <w:sz w:val="22"/>
          <w:szCs w:val="22"/>
        </w:rPr>
      </w:pPr>
      <w:r w:rsidRPr="002A47F4">
        <w:rPr>
          <w:rFonts w:cs="Arial"/>
          <w:sz w:val="22"/>
          <w:szCs w:val="22"/>
        </w:rPr>
        <w:t>The purpose of this measure is to understand how the municipality has applied the available cash and investments as identified in the budgeted cash flow statement. The reconciliation is intended to be a relatively simple methodology for understanding the budgeted amount of cash and investments available with any planned or required applications to be made.  This has been extensively discussed above.</w:t>
      </w:r>
    </w:p>
    <w:p w:rsidR="001D260D" w:rsidRPr="002A47F4" w:rsidRDefault="001D260D" w:rsidP="000836A3">
      <w:pPr>
        <w:pStyle w:val="Heading4"/>
        <w:numPr>
          <w:ilvl w:val="3"/>
          <w:numId w:val="9"/>
        </w:numPr>
        <w:rPr>
          <w:rFonts w:ascii="Arial" w:hAnsi="Arial" w:cs="Arial"/>
          <w:b w:val="0"/>
          <w:bCs w:val="0"/>
          <w:color w:val="auto"/>
        </w:rPr>
      </w:pPr>
      <w:bookmarkStart w:id="232" w:name="_Toc286034139"/>
      <w:bookmarkStart w:id="233" w:name="_Toc286034730"/>
      <w:r w:rsidRPr="002A47F4">
        <w:rPr>
          <w:rFonts w:ascii="Arial" w:hAnsi="Arial" w:cs="Arial"/>
          <w:b w:val="0"/>
          <w:bCs w:val="0"/>
          <w:color w:val="auto"/>
        </w:rPr>
        <w:t>Monthly average payments covered by cash or cash equivalents</w:t>
      </w:r>
      <w:bookmarkEnd w:id="232"/>
      <w:bookmarkEnd w:id="233"/>
    </w:p>
    <w:p w:rsidR="001D260D" w:rsidRPr="002A47F4" w:rsidRDefault="001D260D" w:rsidP="001D260D">
      <w:pPr>
        <w:autoSpaceDE w:val="0"/>
        <w:autoSpaceDN w:val="0"/>
        <w:adjustRightInd w:val="0"/>
        <w:spacing w:line="276" w:lineRule="auto"/>
        <w:jc w:val="both"/>
        <w:rPr>
          <w:rFonts w:cs="Arial"/>
          <w:sz w:val="22"/>
          <w:szCs w:val="22"/>
        </w:rPr>
      </w:pPr>
      <w:r w:rsidRPr="002A47F4">
        <w:rPr>
          <w:rFonts w:cs="Arial"/>
          <w:sz w:val="22"/>
          <w:szCs w:val="22"/>
        </w:rPr>
        <w:t>The purpose of this measure is to understand the level of financial risk should the municipality be under stress from a collection and cash in-flow perspective.  Regardless of the annual cash position an evaluation should be made of the ability of the Municipality to meet monthly payments as and when they fall due.  It is especially important to consider the position should the municipality be faced with an unexpected disaster that threatens revenue collection such as rate boycotts. As indicated above the Municipality aims to achieve at least one month’s cash coverage in the medium term, and then gradually move towards two months coverage.  This measure will have to be carefully monitored going forward.</w:t>
      </w:r>
    </w:p>
    <w:p w:rsidR="001D260D" w:rsidRPr="002A47F4" w:rsidRDefault="001D260D" w:rsidP="000836A3">
      <w:pPr>
        <w:pStyle w:val="Heading4"/>
        <w:numPr>
          <w:ilvl w:val="3"/>
          <w:numId w:val="9"/>
        </w:numPr>
        <w:rPr>
          <w:rFonts w:ascii="Arial" w:hAnsi="Arial" w:cs="Arial"/>
          <w:b w:val="0"/>
          <w:bCs w:val="0"/>
          <w:color w:val="auto"/>
        </w:rPr>
      </w:pPr>
      <w:bookmarkStart w:id="234" w:name="_Toc286034140"/>
      <w:bookmarkStart w:id="235" w:name="_Toc286034731"/>
      <w:r w:rsidRPr="002A47F4">
        <w:rPr>
          <w:rFonts w:ascii="Arial" w:hAnsi="Arial" w:cs="Arial"/>
          <w:b w:val="0"/>
          <w:bCs w:val="0"/>
          <w:color w:val="auto"/>
        </w:rPr>
        <w:t>Surplus/deficit excluding depreciation offsets</w:t>
      </w:r>
      <w:bookmarkEnd w:id="234"/>
      <w:bookmarkEnd w:id="235"/>
    </w:p>
    <w:p w:rsidR="001D260D" w:rsidRPr="002A47F4" w:rsidRDefault="001D260D" w:rsidP="001D260D">
      <w:pPr>
        <w:autoSpaceDE w:val="0"/>
        <w:autoSpaceDN w:val="0"/>
        <w:adjustRightInd w:val="0"/>
        <w:spacing w:line="276" w:lineRule="auto"/>
        <w:jc w:val="both"/>
        <w:rPr>
          <w:rFonts w:cs="Arial"/>
          <w:sz w:val="22"/>
          <w:szCs w:val="22"/>
        </w:rPr>
      </w:pPr>
      <w:r w:rsidRPr="002A47F4">
        <w:rPr>
          <w:rFonts w:cs="Arial"/>
          <w:sz w:val="22"/>
          <w:szCs w:val="22"/>
        </w:rPr>
        <w:t xml:space="preserve">The main purpose of this measure is to understand if the revenue levels are sufficient to conclude that the community is making a sufficient contribution for the municipal resources consumed each year.  An ‘adjusted’ surplus/deficit is achieved by offsetting the amount of depreciation related to externally funded assets.  Municipalities need to assess the result of this calculation taking into consideration its own circumstances and levels of backlogs. If the outcome is a deficit, it may indicate that rates and service charges are insufficient to ensure that the community is making a sufficient contribution toward the economic benefits they are consuming over the medium term. </w:t>
      </w:r>
    </w:p>
    <w:p w:rsidR="001D260D" w:rsidRPr="002A47F4" w:rsidRDefault="001D260D" w:rsidP="001D260D">
      <w:pPr>
        <w:autoSpaceDE w:val="0"/>
        <w:autoSpaceDN w:val="0"/>
        <w:adjustRightInd w:val="0"/>
        <w:spacing w:line="276" w:lineRule="auto"/>
        <w:jc w:val="both"/>
        <w:rPr>
          <w:rFonts w:cs="Arial"/>
          <w:sz w:val="22"/>
          <w:szCs w:val="22"/>
        </w:rPr>
      </w:pPr>
    </w:p>
    <w:p w:rsidR="001D260D" w:rsidRPr="002A47F4" w:rsidRDefault="001D260D" w:rsidP="001D260D">
      <w:pPr>
        <w:autoSpaceDE w:val="0"/>
        <w:autoSpaceDN w:val="0"/>
        <w:adjustRightInd w:val="0"/>
        <w:spacing w:line="276" w:lineRule="auto"/>
        <w:jc w:val="both"/>
        <w:rPr>
          <w:rFonts w:cs="Arial"/>
          <w:sz w:val="22"/>
          <w:szCs w:val="22"/>
        </w:rPr>
      </w:pPr>
      <w:r w:rsidRPr="002A47F4">
        <w:rPr>
          <w:rFonts w:cs="Arial"/>
          <w:sz w:val="22"/>
          <w:szCs w:val="22"/>
        </w:rPr>
        <w:t>It needs to be noted that a surplus does not necessarily mean that the budget is funded from a cash flow perspective and the first two measures in the table are therefore critical.</w:t>
      </w:r>
    </w:p>
    <w:p w:rsidR="001D260D" w:rsidRDefault="001D260D" w:rsidP="001D260D">
      <w:pPr>
        <w:spacing w:line="276" w:lineRule="auto"/>
        <w:jc w:val="both"/>
        <w:rPr>
          <w:rFonts w:cs="Arial"/>
          <w:sz w:val="20"/>
          <w:szCs w:val="20"/>
          <w:lang w:val="en-GB"/>
        </w:rPr>
      </w:pPr>
    </w:p>
    <w:p w:rsidR="00A54D64" w:rsidRDefault="00A54D64" w:rsidP="001D260D">
      <w:pPr>
        <w:spacing w:line="276" w:lineRule="auto"/>
        <w:jc w:val="both"/>
        <w:rPr>
          <w:rFonts w:cs="Arial"/>
          <w:sz w:val="20"/>
          <w:szCs w:val="20"/>
          <w:lang w:val="en-GB"/>
        </w:rPr>
      </w:pPr>
    </w:p>
    <w:p w:rsidR="00A54D64" w:rsidRDefault="00A54D64" w:rsidP="001D260D">
      <w:pPr>
        <w:spacing w:line="276" w:lineRule="auto"/>
        <w:jc w:val="both"/>
        <w:rPr>
          <w:rFonts w:cs="Arial"/>
          <w:sz w:val="20"/>
          <w:szCs w:val="20"/>
          <w:lang w:val="en-GB"/>
        </w:rPr>
      </w:pPr>
    </w:p>
    <w:p w:rsidR="001D260D" w:rsidRPr="002A47F4" w:rsidRDefault="001D260D" w:rsidP="001D260D">
      <w:pPr>
        <w:pStyle w:val="Caption"/>
        <w:tabs>
          <w:tab w:val="left" w:pos="851"/>
        </w:tabs>
        <w:rPr>
          <w:rFonts w:cs="Arial"/>
          <w:color w:val="984806"/>
          <w:szCs w:val="22"/>
        </w:rPr>
      </w:pPr>
      <w:bookmarkStart w:id="236" w:name="_Toc356917108"/>
      <w:bookmarkStart w:id="237" w:name="_Toc509209340"/>
      <w:r w:rsidRPr="002A47F4">
        <w:rPr>
          <w:rFonts w:cs="Arial"/>
          <w:color w:val="984806"/>
          <w:szCs w:val="22"/>
        </w:rPr>
        <w:lastRenderedPageBreak/>
        <w:t>Table 2</w:t>
      </w:r>
      <w:r w:rsidR="008C0381" w:rsidRPr="002A47F4">
        <w:rPr>
          <w:rFonts w:cs="Arial"/>
          <w:color w:val="984806"/>
          <w:szCs w:val="22"/>
        </w:rPr>
        <w:t>0</w:t>
      </w:r>
      <w:r w:rsidRPr="002A47F4">
        <w:rPr>
          <w:rFonts w:cs="Arial"/>
          <w:color w:val="984806"/>
          <w:szCs w:val="22"/>
        </w:rPr>
        <w:tab/>
      </w:r>
      <w:r w:rsidRPr="00DE2254">
        <w:rPr>
          <w:rFonts w:cs="Arial"/>
          <w:color w:val="984806"/>
          <w:szCs w:val="22"/>
        </w:rPr>
        <w:t>MBRR NT SA10 - Funding compliance measurement</w:t>
      </w:r>
      <w:bookmarkEnd w:id="236"/>
      <w:bookmarkEnd w:id="237"/>
    </w:p>
    <w:p w:rsidR="00A0484B" w:rsidRDefault="00351A24" w:rsidP="00A0484B">
      <w:pPr>
        <w:rPr>
          <w:lang w:val="en-ZA"/>
        </w:rPr>
      </w:pPr>
      <w:r w:rsidRPr="00351A24">
        <w:drawing>
          <wp:inline distT="0" distB="0" distL="0" distR="0">
            <wp:extent cx="6507479" cy="2636520"/>
            <wp:effectExtent l="19050" t="0" r="7621" b="0"/>
            <wp:docPr id="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a:stretch>
                      <a:fillRect/>
                    </a:stretch>
                  </pic:blipFill>
                  <pic:spPr bwMode="auto">
                    <a:xfrm>
                      <a:off x="0" y="0"/>
                      <a:ext cx="6509506" cy="2637341"/>
                    </a:xfrm>
                    <a:prstGeom prst="rect">
                      <a:avLst/>
                    </a:prstGeom>
                    <a:noFill/>
                    <a:ln w="9525">
                      <a:noFill/>
                      <a:miter lim="800000"/>
                      <a:headEnd/>
                      <a:tailEnd/>
                    </a:ln>
                  </pic:spPr>
                </pic:pic>
              </a:graphicData>
            </a:graphic>
          </wp:inline>
        </w:drawing>
      </w:r>
    </w:p>
    <w:p w:rsidR="004E10AF" w:rsidRDefault="00351A24" w:rsidP="00A0484B">
      <w:pPr>
        <w:rPr>
          <w:lang w:val="en-ZA"/>
        </w:rPr>
      </w:pPr>
      <w:r w:rsidRPr="00351A24">
        <w:drawing>
          <wp:inline distT="0" distB="0" distL="0" distR="0">
            <wp:extent cx="6507480" cy="5985510"/>
            <wp:effectExtent l="19050" t="0" r="7620" b="0"/>
            <wp:docPr id="4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srcRect/>
                    <a:stretch>
                      <a:fillRect/>
                    </a:stretch>
                  </pic:blipFill>
                  <pic:spPr bwMode="auto">
                    <a:xfrm>
                      <a:off x="0" y="0"/>
                      <a:ext cx="6509506" cy="5987373"/>
                    </a:xfrm>
                    <a:prstGeom prst="rect">
                      <a:avLst/>
                    </a:prstGeom>
                    <a:noFill/>
                    <a:ln w="9525">
                      <a:noFill/>
                      <a:miter lim="800000"/>
                      <a:headEnd/>
                      <a:tailEnd/>
                    </a:ln>
                  </pic:spPr>
                </pic:pic>
              </a:graphicData>
            </a:graphic>
          </wp:inline>
        </w:drawing>
      </w:r>
    </w:p>
    <w:p w:rsidR="005A697F" w:rsidRPr="004E10AF" w:rsidRDefault="005A697F" w:rsidP="000836A3">
      <w:pPr>
        <w:pStyle w:val="Heading4"/>
        <w:numPr>
          <w:ilvl w:val="3"/>
          <w:numId w:val="9"/>
        </w:numPr>
        <w:rPr>
          <w:rFonts w:ascii="Arial" w:hAnsi="Arial" w:cs="Arial"/>
          <w:b w:val="0"/>
          <w:bCs w:val="0"/>
          <w:color w:val="auto"/>
        </w:rPr>
      </w:pPr>
      <w:bookmarkStart w:id="238" w:name="_Toc286034143"/>
      <w:bookmarkStart w:id="239" w:name="_Toc286034734"/>
      <w:r w:rsidRPr="004E10AF">
        <w:rPr>
          <w:rFonts w:ascii="Arial" w:hAnsi="Arial" w:cs="Arial"/>
          <w:b w:val="0"/>
          <w:bCs w:val="0"/>
          <w:color w:val="auto"/>
        </w:rPr>
        <w:lastRenderedPageBreak/>
        <w:t>Debt impairment expense as a percentage of billable revenue</w:t>
      </w:r>
      <w:bookmarkEnd w:id="238"/>
      <w:bookmarkEnd w:id="239"/>
    </w:p>
    <w:p w:rsidR="005A697F" w:rsidRPr="002A47F4" w:rsidRDefault="005A697F" w:rsidP="006B215D">
      <w:pPr>
        <w:autoSpaceDE w:val="0"/>
        <w:autoSpaceDN w:val="0"/>
        <w:adjustRightInd w:val="0"/>
        <w:spacing w:line="276" w:lineRule="auto"/>
        <w:jc w:val="both"/>
        <w:rPr>
          <w:rFonts w:cs="Arial"/>
          <w:sz w:val="22"/>
          <w:szCs w:val="22"/>
        </w:rPr>
      </w:pPr>
      <w:r w:rsidRPr="002A47F4">
        <w:rPr>
          <w:rFonts w:cs="Arial"/>
          <w:sz w:val="22"/>
          <w:szCs w:val="22"/>
        </w:rPr>
        <w:t>This factor measures whether the provision for debt impairment is being adequately funded and is based on the underlying assumption that the provision for debt impairment (doubtful and bad debts) has to be increased to offset under-collection of billed revenues</w:t>
      </w:r>
      <w:r w:rsidR="0068253C" w:rsidRPr="002A47F4">
        <w:rPr>
          <w:rFonts w:cs="Arial"/>
          <w:sz w:val="22"/>
          <w:szCs w:val="22"/>
        </w:rPr>
        <w:t>.</w:t>
      </w:r>
      <w:r w:rsidRPr="002A47F4">
        <w:rPr>
          <w:rFonts w:cs="Arial"/>
          <w:sz w:val="22"/>
          <w:szCs w:val="22"/>
        </w:rPr>
        <w:t xml:space="preserve"> Considering the debt incentive scheme and the municipality’s revenue management strategy’s objective to collect outstanding debtors of 90 days, the provision is well within the accepted leading practice.</w:t>
      </w:r>
    </w:p>
    <w:p w:rsidR="005A697F" w:rsidRPr="002A47F4" w:rsidRDefault="005A697F" w:rsidP="000836A3">
      <w:pPr>
        <w:pStyle w:val="Heading4"/>
        <w:numPr>
          <w:ilvl w:val="3"/>
          <w:numId w:val="9"/>
        </w:numPr>
        <w:rPr>
          <w:rFonts w:ascii="Arial" w:hAnsi="Arial" w:cs="Arial"/>
          <w:b w:val="0"/>
          <w:bCs w:val="0"/>
          <w:color w:val="auto"/>
        </w:rPr>
      </w:pPr>
      <w:bookmarkStart w:id="240" w:name="_Toc286034144"/>
      <w:bookmarkStart w:id="241" w:name="_Toc286034735"/>
      <w:r w:rsidRPr="002A47F4">
        <w:rPr>
          <w:rFonts w:ascii="Arial" w:hAnsi="Arial" w:cs="Arial"/>
          <w:b w:val="0"/>
          <w:bCs w:val="0"/>
          <w:color w:val="auto"/>
        </w:rPr>
        <w:t>Capital payments percentage of capital expenditure</w:t>
      </w:r>
      <w:bookmarkEnd w:id="240"/>
      <w:bookmarkEnd w:id="241"/>
    </w:p>
    <w:p w:rsidR="005A697F" w:rsidRPr="002A47F4" w:rsidRDefault="005A697F" w:rsidP="006B215D">
      <w:pPr>
        <w:autoSpaceDE w:val="0"/>
        <w:autoSpaceDN w:val="0"/>
        <w:adjustRightInd w:val="0"/>
        <w:spacing w:line="276" w:lineRule="auto"/>
        <w:jc w:val="both"/>
        <w:rPr>
          <w:rFonts w:cs="Arial"/>
          <w:sz w:val="22"/>
          <w:szCs w:val="22"/>
        </w:rPr>
      </w:pPr>
      <w:r w:rsidRPr="002A47F4">
        <w:rPr>
          <w:rFonts w:cs="Arial"/>
          <w:sz w:val="22"/>
          <w:szCs w:val="22"/>
        </w:rPr>
        <w:t>The purpose of this measure is to determine whether the timing of payments has been taken into consideration when forecasting the cash position</w:t>
      </w:r>
      <w:r w:rsidR="0068253C" w:rsidRPr="002A47F4">
        <w:rPr>
          <w:rFonts w:cs="Arial"/>
          <w:sz w:val="22"/>
          <w:szCs w:val="22"/>
        </w:rPr>
        <w:t>.</w:t>
      </w:r>
      <w:r w:rsidRPr="002A47F4">
        <w:rPr>
          <w:rFonts w:cs="Arial"/>
          <w:sz w:val="22"/>
          <w:szCs w:val="22"/>
        </w:rPr>
        <w:t xml:space="preserve"> The municipality aims to keep this as low as possible through strict compliance with the legislative</w:t>
      </w:r>
      <w:r w:rsidR="0002373D" w:rsidRPr="002A47F4">
        <w:rPr>
          <w:rFonts w:cs="Arial"/>
          <w:sz w:val="22"/>
          <w:szCs w:val="22"/>
        </w:rPr>
        <w:t xml:space="preserve"> requirement that creditors</w:t>
      </w:r>
      <w:r w:rsidRPr="002A47F4">
        <w:rPr>
          <w:rFonts w:cs="Arial"/>
          <w:sz w:val="22"/>
          <w:szCs w:val="22"/>
        </w:rPr>
        <w:t xml:space="preserve"> be paid within 30 days.</w:t>
      </w:r>
    </w:p>
    <w:p w:rsidR="005A697F" w:rsidRPr="002A47F4" w:rsidRDefault="005A697F" w:rsidP="000836A3">
      <w:pPr>
        <w:pStyle w:val="Heading4"/>
        <w:numPr>
          <w:ilvl w:val="3"/>
          <w:numId w:val="9"/>
        </w:numPr>
        <w:rPr>
          <w:rFonts w:ascii="Arial" w:hAnsi="Arial" w:cs="Arial"/>
          <w:b w:val="0"/>
          <w:bCs w:val="0"/>
          <w:color w:val="auto"/>
        </w:rPr>
      </w:pPr>
      <w:bookmarkStart w:id="242" w:name="_Toc286034146"/>
      <w:bookmarkStart w:id="243" w:name="_Toc286034737"/>
      <w:r w:rsidRPr="002A47F4">
        <w:rPr>
          <w:rFonts w:ascii="Arial" w:hAnsi="Arial" w:cs="Arial"/>
          <w:b w:val="0"/>
          <w:bCs w:val="0"/>
          <w:color w:val="auto"/>
        </w:rPr>
        <w:t>Transfers/grants revenue as a percentage of Government transfers/grants available</w:t>
      </w:r>
      <w:bookmarkEnd w:id="242"/>
      <w:bookmarkEnd w:id="243"/>
    </w:p>
    <w:p w:rsidR="005A697F" w:rsidRPr="002A47F4" w:rsidRDefault="005A697F" w:rsidP="006B215D">
      <w:pPr>
        <w:autoSpaceDE w:val="0"/>
        <w:autoSpaceDN w:val="0"/>
        <w:adjustRightInd w:val="0"/>
        <w:spacing w:line="276" w:lineRule="auto"/>
        <w:jc w:val="both"/>
        <w:rPr>
          <w:rFonts w:cs="Arial"/>
          <w:sz w:val="22"/>
          <w:szCs w:val="22"/>
        </w:rPr>
      </w:pPr>
      <w:r w:rsidRPr="002A47F4">
        <w:rPr>
          <w:rFonts w:cs="Arial"/>
          <w:sz w:val="22"/>
          <w:szCs w:val="22"/>
        </w:rPr>
        <w:t xml:space="preserve">The purpose of this measurement is mainly to ensure that all available transfers from national and provincial government have been budgeted for.  A percentage less than 100 </w:t>
      </w:r>
      <w:r w:rsidR="00A52B13" w:rsidRPr="002A47F4">
        <w:rPr>
          <w:rFonts w:cs="Arial"/>
          <w:sz w:val="22"/>
          <w:szCs w:val="22"/>
        </w:rPr>
        <w:t>percent</w:t>
      </w:r>
      <w:r w:rsidRPr="002A47F4">
        <w:rPr>
          <w:rFonts w:cs="Arial"/>
          <w:sz w:val="22"/>
          <w:szCs w:val="22"/>
        </w:rPr>
        <w:t xml:space="preserve"> could indicate that not all grants as contained in the Division of Revenue Act (DoRA) have been budgeted for.  The </w:t>
      </w:r>
      <w:r w:rsidR="00A52B13" w:rsidRPr="002A47F4">
        <w:rPr>
          <w:rFonts w:cs="Arial"/>
          <w:sz w:val="22"/>
          <w:szCs w:val="22"/>
        </w:rPr>
        <w:t>Municipality</w:t>
      </w:r>
      <w:r w:rsidRPr="002A47F4">
        <w:rPr>
          <w:rFonts w:cs="Arial"/>
          <w:sz w:val="22"/>
          <w:szCs w:val="22"/>
        </w:rPr>
        <w:t xml:space="preserve"> has budgeted for all transfers.</w:t>
      </w:r>
    </w:p>
    <w:p w:rsidR="005A697F" w:rsidRPr="002A47F4" w:rsidRDefault="005A697F" w:rsidP="000836A3">
      <w:pPr>
        <w:pStyle w:val="Heading4"/>
        <w:numPr>
          <w:ilvl w:val="3"/>
          <w:numId w:val="9"/>
        </w:numPr>
        <w:rPr>
          <w:rFonts w:ascii="Arial" w:hAnsi="Arial" w:cs="Arial"/>
          <w:b w:val="0"/>
          <w:bCs w:val="0"/>
          <w:color w:val="auto"/>
        </w:rPr>
      </w:pPr>
      <w:bookmarkStart w:id="244" w:name="_Toc286034148"/>
      <w:bookmarkStart w:id="245" w:name="_Toc286034739"/>
      <w:r w:rsidRPr="002A47F4">
        <w:rPr>
          <w:rFonts w:ascii="Arial" w:hAnsi="Arial" w:cs="Arial"/>
          <w:b w:val="0"/>
          <w:bCs w:val="0"/>
          <w:color w:val="auto"/>
        </w:rPr>
        <w:t>Repairs and maintenance expenditure level</w:t>
      </w:r>
      <w:bookmarkEnd w:id="244"/>
      <w:bookmarkEnd w:id="245"/>
    </w:p>
    <w:p w:rsidR="005A697F" w:rsidRPr="002A47F4" w:rsidRDefault="005A697F" w:rsidP="006B215D">
      <w:pPr>
        <w:autoSpaceDE w:val="0"/>
        <w:autoSpaceDN w:val="0"/>
        <w:adjustRightInd w:val="0"/>
        <w:spacing w:line="276" w:lineRule="auto"/>
        <w:jc w:val="both"/>
        <w:rPr>
          <w:rFonts w:cs="Arial"/>
          <w:sz w:val="22"/>
          <w:szCs w:val="22"/>
        </w:rPr>
      </w:pPr>
      <w:r w:rsidRPr="002A47F4">
        <w:rPr>
          <w:rFonts w:cs="Arial"/>
          <w:sz w:val="22"/>
          <w:szCs w:val="22"/>
        </w:rPr>
        <w:t>This measure must be considered important within the context of the funding measures criteria because a trend that indicates insufficient funds are being committed to asset repair could also indicate that the overall budget is not credible and/or sustainable in the medium to long term because the revenue budget is not being protected</w:t>
      </w:r>
      <w:r w:rsidR="0068253C" w:rsidRPr="002A47F4">
        <w:rPr>
          <w:rFonts w:cs="Arial"/>
          <w:sz w:val="22"/>
          <w:szCs w:val="22"/>
        </w:rPr>
        <w:t>.</w:t>
      </w:r>
    </w:p>
    <w:p w:rsidR="005A697F" w:rsidRPr="002A47F4" w:rsidRDefault="005A697F" w:rsidP="000836A3">
      <w:pPr>
        <w:pStyle w:val="Heading4"/>
        <w:numPr>
          <w:ilvl w:val="3"/>
          <w:numId w:val="9"/>
        </w:numPr>
        <w:rPr>
          <w:rFonts w:ascii="Arial" w:hAnsi="Arial" w:cs="Arial"/>
          <w:b w:val="0"/>
          <w:bCs w:val="0"/>
          <w:color w:val="auto"/>
        </w:rPr>
      </w:pPr>
      <w:bookmarkStart w:id="246" w:name="_Toc286034149"/>
      <w:bookmarkStart w:id="247" w:name="_Toc286034740"/>
      <w:r w:rsidRPr="002A47F4">
        <w:rPr>
          <w:rFonts w:ascii="Arial" w:hAnsi="Arial" w:cs="Arial"/>
          <w:b w:val="0"/>
          <w:bCs w:val="0"/>
          <w:color w:val="auto"/>
        </w:rPr>
        <w:t>Asset renewal/rehabilitation expenditure level</w:t>
      </w:r>
      <w:bookmarkEnd w:id="246"/>
      <w:bookmarkEnd w:id="247"/>
    </w:p>
    <w:p w:rsidR="005A697F" w:rsidRPr="002A47F4" w:rsidRDefault="005A697F" w:rsidP="006B215D">
      <w:pPr>
        <w:autoSpaceDE w:val="0"/>
        <w:autoSpaceDN w:val="0"/>
        <w:adjustRightInd w:val="0"/>
        <w:spacing w:line="276" w:lineRule="auto"/>
        <w:jc w:val="both"/>
        <w:rPr>
          <w:rFonts w:cs="Arial"/>
          <w:sz w:val="22"/>
          <w:szCs w:val="22"/>
        </w:rPr>
      </w:pPr>
      <w:r w:rsidRPr="002A47F4">
        <w:rPr>
          <w:rFonts w:cs="Arial"/>
          <w:sz w:val="22"/>
          <w:szCs w:val="22"/>
        </w:rPr>
        <w:t>This measure has a similar objective to aforementioned objective relating to repairs and maintenance.  A requirement of the detailed capital budget (since MFMA Circular 28 which was issued in December 2005) is to categorise each capital project as a new a</w:t>
      </w:r>
      <w:r w:rsidR="00E872DE" w:rsidRPr="002A47F4">
        <w:rPr>
          <w:rFonts w:cs="Arial"/>
          <w:sz w:val="22"/>
          <w:szCs w:val="22"/>
        </w:rPr>
        <w:t>sset or a existing asset renewal/upgrading</w:t>
      </w:r>
      <w:r w:rsidRPr="002A47F4">
        <w:rPr>
          <w:rFonts w:cs="Arial"/>
          <w:sz w:val="22"/>
          <w:szCs w:val="22"/>
        </w:rPr>
        <w:t xml:space="preserve"> project.  The objective is to summarise and understand the proportion of budgets being provided for new assets and also asset sustainability.  A declining or low level of renewal funding may indicate that a budget is not credible and/or sustainable and future revenue is not being protected, similar to the justification for ‘repairs and maintenance’ budgets</w:t>
      </w:r>
      <w:r w:rsidR="0068253C" w:rsidRPr="002A47F4">
        <w:rPr>
          <w:rFonts w:cs="Arial"/>
          <w:sz w:val="22"/>
          <w:szCs w:val="22"/>
        </w:rPr>
        <w:t>.</w:t>
      </w:r>
    </w:p>
    <w:p w:rsidR="007B4944" w:rsidRPr="002A47F4" w:rsidRDefault="007B4944" w:rsidP="006B215D">
      <w:pPr>
        <w:autoSpaceDE w:val="0"/>
        <w:autoSpaceDN w:val="0"/>
        <w:adjustRightInd w:val="0"/>
        <w:spacing w:line="276" w:lineRule="auto"/>
        <w:jc w:val="both"/>
        <w:rPr>
          <w:rFonts w:cs="Arial"/>
          <w:sz w:val="22"/>
          <w:szCs w:val="22"/>
        </w:rPr>
      </w:pPr>
    </w:p>
    <w:p w:rsidR="005A697F" w:rsidRPr="008C0381" w:rsidRDefault="006B153D" w:rsidP="008C0381">
      <w:pPr>
        <w:pStyle w:val="Heading2"/>
        <w:numPr>
          <w:ilvl w:val="1"/>
          <w:numId w:val="9"/>
        </w:numPr>
        <w:ind w:left="567" w:hanging="567"/>
        <w:rPr>
          <w:color w:val="984806"/>
        </w:rPr>
      </w:pPr>
      <w:bookmarkStart w:id="248" w:name="_Toc286034150"/>
      <w:bookmarkStart w:id="249" w:name="_Toc286034741"/>
      <w:bookmarkStart w:id="250" w:name="_Toc286041445"/>
      <w:bookmarkStart w:id="251" w:name="_Toc286041514"/>
      <w:bookmarkStart w:id="252" w:name="_Toc286117325"/>
      <w:bookmarkStart w:id="253" w:name="_Toc287342536"/>
      <w:bookmarkStart w:id="254" w:name="_Toc287797084"/>
      <w:r>
        <w:rPr>
          <w:color w:val="984806"/>
        </w:rPr>
        <w:br w:type="page"/>
      </w:r>
      <w:bookmarkStart w:id="255" w:name="_Toc356917079"/>
      <w:bookmarkStart w:id="256" w:name="_Toc3962576"/>
      <w:r w:rsidR="005A697F" w:rsidRPr="008C0381">
        <w:rPr>
          <w:color w:val="984806"/>
        </w:rPr>
        <w:lastRenderedPageBreak/>
        <w:t>Expenditure on grants and reconciliations of unspent funds</w:t>
      </w:r>
      <w:bookmarkEnd w:id="248"/>
      <w:bookmarkEnd w:id="249"/>
      <w:bookmarkEnd w:id="250"/>
      <w:bookmarkEnd w:id="251"/>
      <w:bookmarkEnd w:id="252"/>
      <w:bookmarkEnd w:id="253"/>
      <w:bookmarkEnd w:id="254"/>
      <w:bookmarkEnd w:id="255"/>
      <w:bookmarkEnd w:id="256"/>
    </w:p>
    <w:p w:rsidR="005A697F" w:rsidRDefault="005A697F" w:rsidP="006B215D">
      <w:pPr>
        <w:keepNext/>
        <w:spacing w:line="276" w:lineRule="auto"/>
        <w:rPr>
          <w:rFonts w:cs="Arial"/>
          <w:i/>
          <w:sz w:val="20"/>
          <w:szCs w:val="20"/>
        </w:rPr>
      </w:pPr>
    </w:p>
    <w:p w:rsidR="0068253C" w:rsidRPr="008C0381" w:rsidRDefault="0068253C" w:rsidP="0068253C">
      <w:pPr>
        <w:pStyle w:val="Caption"/>
        <w:tabs>
          <w:tab w:val="left" w:pos="851"/>
        </w:tabs>
        <w:rPr>
          <w:rFonts w:cs="Arial"/>
          <w:color w:val="984806"/>
          <w:sz w:val="20"/>
          <w:szCs w:val="20"/>
        </w:rPr>
      </w:pPr>
      <w:bookmarkStart w:id="257" w:name="_Toc356917109"/>
      <w:bookmarkStart w:id="258" w:name="_Toc509209341"/>
      <w:r w:rsidRPr="008C0381">
        <w:rPr>
          <w:rFonts w:cs="Arial"/>
          <w:color w:val="984806"/>
          <w:sz w:val="20"/>
          <w:szCs w:val="20"/>
        </w:rPr>
        <w:t>Table 2</w:t>
      </w:r>
      <w:r w:rsidR="008C0381" w:rsidRPr="008C0381">
        <w:rPr>
          <w:rFonts w:cs="Arial"/>
          <w:color w:val="984806"/>
          <w:sz w:val="20"/>
          <w:szCs w:val="20"/>
        </w:rPr>
        <w:t>1</w:t>
      </w:r>
      <w:r w:rsidRPr="008C0381">
        <w:rPr>
          <w:rFonts w:cs="Arial"/>
          <w:color w:val="984806"/>
          <w:sz w:val="20"/>
          <w:szCs w:val="20"/>
        </w:rPr>
        <w:tab/>
        <w:t>MBRR SA19 - Expenditure on transfers and grant programmes</w:t>
      </w:r>
      <w:bookmarkEnd w:id="257"/>
      <w:bookmarkEnd w:id="258"/>
    </w:p>
    <w:p w:rsidR="00221B7D" w:rsidRPr="00221B7D" w:rsidRDefault="00351A24" w:rsidP="00221B7D">
      <w:pPr>
        <w:rPr>
          <w:lang w:val="en-ZA"/>
        </w:rPr>
      </w:pPr>
      <w:r w:rsidRPr="00351A24">
        <w:drawing>
          <wp:inline distT="0" distB="0" distL="0" distR="0">
            <wp:extent cx="6518910" cy="8347710"/>
            <wp:effectExtent l="19050" t="0" r="0" b="0"/>
            <wp:docPr id="4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srcRect/>
                    <a:stretch>
                      <a:fillRect/>
                    </a:stretch>
                  </pic:blipFill>
                  <pic:spPr bwMode="auto">
                    <a:xfrm>
                      <a:off x="0" y="0"/>
                      <a:ext cx="6521305" cy="8350777"/>
                    </a:xfrm>
                    <a:prstGeom prst="rect">
                      <a:avLst/>
                    </a:prstGeom>
                    <a:noFill/>
                    <a:ln w="9525">
                      <a:noFill/>
                      <a:miter lim="800000"/>
                      <a:headEnd/>
                      <a:tailEnd/>
                    </a:ln>
                  </pic:spPr>
                </pic:pic>
              </a:graphicData>
            </a:graphic>
          </wp:inline>
        </w:drawing>
      </w:r>
    </w:p>
    <w:p w:rsidR="005A697F" w:rsidRPr="008C0381" w:rsidRDefault="001C6CAF" w:rsidP="004626BC">
      <w:pPr>
        <w:rPr>
          <w:color w:val="984806"/>
        </w:rPr>
      </w:pPr>
      <w:bookmarkStart w:id="259" w:name="_Toc286034154"/>
      <w:bookmarkStart w:id="260" w:name="_Toc286034745"/>
      <w:bookmarkStart w:id="261" w:name="_Toc286041449"/>
      <w:bookmarkStart w:id="262" w:name="_Toc286041518"/>
      <w:bookmarkStart w:id="263" w:name="_Toc286117329"/>
      <w:bookmarkStart w:id="264" w:name="_Toc287342540"/>
      <w:bookmarkStart w:id="265" w:name="_Toc287797089"/>
      <w:bookmarkStart w:id="266" w:name="_Toc356917080"/>
      <w:r>
        <w:rPr>
          <w:color w:val="984806"/>
        </w:rPr>
        <w:br w:type="page"/>
      </w:r>
      <w:bookmarkStart w:id="267" w:name="_Toc3962577"/>
      <w:r w:rsidR="005A697F" w:rsidRPr="008C0381">
        <w:rPr>
          <w:color w:val="984806"/>
        </w:rPr>
        <w:lastRenderedPageBreak/>
        <w:t>Contracts having future budgetary implications</w:t>
      </w:r>
      <w:bookmarkEnd w:id="259"/>
      <w:bookmarkEnd w:id="260"/>
      <w:bookmarkEnd w:id="261"/>
      <w:bookmarkEnd w:id="262"/>
      <w:bookmarkEnd w:id="263"/>
      <w:bookmarkEnd w:id="264"/>
      <w:bookmarkEnd w:id="265"/>
      <w:bookmarkEnd w:id="266"/>
      <w:bookmarkEnd w:id="267"/>
    </w:p>
    <w:p w:rsidR="005A697F" w:rsidRPr="006B215D" w:rsidRDefault="005A697F" w:rsidP="006B215D">
      <w:pPr>
        <w:spacing w:line="276" w:lineRule="auto"/>
        <w:jc w:val="both"/>
        <w:rPr>
          <w:rFonts w:cs="Arial"/>
          <w:bCs/>
          <w:sz w:val="20"/>
          <w:szCs w:val="20"/>
        </w:rPr>
      </w:pPr>
    </w:p>
    <w:p w:rsidR="005A697F" w:rsidRDefault="005A697F" w:rsidP="006B215D">
      <w:pPr>
        <w:spacing w:line="276" w:lineRule="auto"/>
        <w:jc w:val="both"/>
        <w:rPr>
          <w:rFonts w:cs="Arial"/>
          <w:bCs/>
          <w:sz w:val="20"/>
          <w:szCs w:val="20"/>
        </w:rPr>
      </w:pPr>
      <w:r w:rsidRPr="006B215D">
        <w:rPr>
          <w:rFonts w:cs="Arial"/>
          <w:bCs/>
          <w:sz w:val="20"/>
          <w:szCs w:val="20"/>
        </w:rPr>
        <w:t xml:space="preserve">In terms of the </w:t>
      </w:r>
      <w:r w:rsidR="00A52B13">
        <w:rPr>
          <w:rFonts w:cs="Arial"/>
          <w:bCs/>
          <w:sz w:val="20"/>
          <w:szCs w:val="20"/>
        </w:rPr>
        <w:t>Municipality</w:t>
      </w:r>
      <w:r w:rsidRPr="006B215D">
        <w:rPr>
          <w:rFonts w:cs="Arial"/>
          <w:bCs/>
          <w:sz w:val="20"/>
          <w:szCs w:val="20"/>
        </w:rPr>
        <w:t>’s Supply Chain Management Policy, no contracts are awarded beyond the medium-term revenue and expenditure framework (three years). In ensuring adherence to this contractual time frame limitation, all reports submitted to either the Bid Evaluation and Adjudication Committees must obtain formal financial comments from the Financial Management Division of the Treasury Department.</w:t>
      </w:r>
    </w:p>
    <w:p w:rsidR="001C6CAF" w:rsidRDefault="001C6CAF" w:rsidP="006B215D">
      <w:pPr>
        <w:spacing w:line="276" w:lineRule="auto"/>
        <w:jc w:val="both"/>
        <w:rPr>
          <w:rFonts w:cs="Arial"/>
          <w:bCs/>
          <w:sz w:val="20"/>
          <w:szCs w:val="20"/>
        </w:rPr>
      </w:pPr>
    </w:p>
    <w:p w:rsidR="005A697F" w:rsidRPr="008C0381" w:rsidRDefault="005A697F" w:rsidP="008C0381">
      <w:pPr>
        <w:pStyle w:val="Heading2"/>
        <w:numPr>
          <w:ilvl w:val="1"/>
          <w:numId w:val="9"/>
        </w:numPr>
        <w:ind w:left="567" w:hanging="567"/>
        <w:rPr>
          <w:color w:val="984806"/>
        </w:rPr>
      </w:pPr>
      <w:bookmarkStart w:id="268" w:name="_Toc286034155"/>
      <w:bookmarkStart w:id="269" w:name="_Toc286034746"/>
      <w:bookmarkStart w:id="270" w:name="_Toc286041450"/>
      <w:bookmarkStart w:id="271" w:name="_Toc286041519"/>
      <w:bookmarkStart w:id="272" w:name="_Toc286117330"/>
      <w:bookmarkStart w:id="273" w:name="_Toc287342541"/>
      <w:bookmarkStart w:id="274" w:name="_Toc287797090"/>
      <w:bookmarkStart w:id="275" w:name="_Toc356917081"/>
      <w:bookmarkStart w:id="276" w:name="_Toc3962578"/>
      <w:r w:rsidRPr="008C0381">
        <w:rPr>
          <w:color w:val="984806"/>
        </w:rPr>
        <w:t>Capital expenditure details</w:t>
      </w:r>
      <w:bookmarkEnd w:id="268"/>
      <w:bookmarkEnd w:id="269"/>
      <w:bookmarkEnd w:id="270"/>
      <w:bookmarkEnd w:id="271"/>
      <w:bookmarkEnd w:id="272"/>
      <w:bookmarkEnd w:id="273"/>
      <w:bookmarkEnd w:id="274"/>
      <w:bookmarkEnd w:id="275"/>
      <w:bookmarkEnd w:id="276"/>
    </w:p>
    <w:p w:rsidR="005A697F" w:rsidRPr="006B215D" w:rsidRDefault="005A697F" w:rsidP="006B215D">
      <w:pPr>
        <w:spacing w:line="276" w:lineRule="auto"/>
        <w:jc w:val="both"/>
        <w:rPr>
          <w:rFonts w:cs="Arial"/>
          <w:bCs/>
          <w:sz w:val="20"/>
          <w:szCs w:val="20"/>
        </w:rPr>
      </w:pPr>
    </w:p>
    <w:p w:rsidR="005A697F" w:rsidRDefault="005A697F" w:rsidP="006B215D">
      <w:pPr>
        <w:spacing w:line="276" w:lineRule="auto"/>
        <w:jc w:val="both"/>
        <w:rPr>
          <w:rFonts w:cs="Arial"/>
          <w:bCs/>
          <w:sz w:val="20"/>
          <w:szCs w:val="20"/>
        </w:rPr>
      </w:pPr>
      <w:r w:rsidRPr="006B215D">
        <w:rPr>
          <w:rFonts w:cs="Arial"/>
          <w:bCs/>
          <w:sz w:val="20"/>
          <w:szCs w:val="20"/>
        </w:rPr>
        <w:t>The following table</w:t>
      </w:r>
      <w:r w:rsidR="0061598D">
        <w:rPr>
          <w:rFonts w:cs="Arial"/>
          <w:bCs/>
          <w:sz w:val="20"/>
          <w:szCs w:val="20"/>
        </w:rPr>
        <w:t>s</w:t>
      </w:r>
      <w:r w:rsidRPr="006B215D">
        <w:rPr>
          <w:rFonts w:cs="Arial"/>
          <w:bCs/>
          <w:sz w:val="20"/>
          <w:szCs w:val="20"/>
        </w:rPr>
        <w:t xml:space="preserve"> present details of the </w:t>
      </w:r>
      <w:r w:rsidR="00A52B13">
        <w:rPr>
          <w:rFonts w:cs="Arial"/>
          <w:bCs/>
          <w:sz w:val="20"/>
          <w:szCs w:val="20"/>
        </w:rPr>
        <w:t>Municipality</w:t>
      </w:r>
      <w:r w:rsidRPr="006B215D">
        <w:rPr>
          <w:rFonts w:cs="Arial"/>
          <w:bCs/>
          <w:sz w:val="20"/>
          <w:szCs w:val="20"/>
        </w:rPr>
        <w:t>’s capital expenditure programme.</w:t>
      </w:r>
    </w:p>
    <w:p w:rsidR="0019792E" w:rsidRDefault="0019792E" w:rsidP="00D50329">
      <w:pPr>
        <w:pStyle w:val="Caption"/>
        <w:tabs>
          <w:tab w:val="left" w:pos="851"/>
        </w:tabs>
        <w:rPr>
          <w:rFonts w:cs="Arial"/>
          <w:color w:val="984806"/>
          <w:sz w:val="20"/>
          <w:szCs w:val="20"/>
        </w:rPr>
      </w:pPr>
      <w:bookmarkStart w:id="277" w:name="_Toc291754645"/>
      <w:bookmarkStart w:id="278" w:name="_Toc356917110"/>
    </w:p>
    <w:p w:rsidR="00736C5B" w:rsidRPr="00736C5B" w:rsidRDefault="00E30C36" w:rsidP="00736C5B">
      <w:pPr>
        <w:pStyle w:val="Caption"/>
        <w:tabs>
          <w:tab w:val="left" w:pos="851"/>
        </w:tabs>
      </w:pPr>
      <w:bookmarkStart w:id="279" w:name="_Toc509209342"/>
      <w:r w:rsidRPr="00E30C36">
        <w:rPr>
          <w:rFonts w:cs="Arial"/>
          <w:color w:val="984806"/>
          <w:sz w:val="20"/>
          <w:szCs w:val="20"/>
        </w:rPr>
        <w:t>Table 2</w:t>
      </w:r>
      <w:r>
        <w:rPr>
          <w:rFonts w:cs="Arial"/>
          <w:color w:val="984806"/>
          <w:sz w:val="20"/>
          <w:szCs w:val="20"/>
        </w:rPr>
        <w:t>2</w:t>
      </w:r>
      <w:r w:rsidR="008E76AC">
        <w:rPr>
          <w:rFonts w:cs="Arial"/>
          <w:color w:val="984806"/>
          <w:sz w:val="20"/>
          <w:szCs w:val="20"/>
        </w:rPr>
        <w:t xml:space="preserve"> 2020/21</w:t>
      </w:r>
      <w:r w:rsidRPr="00E30C36">
        <w:rPr>
          <w:rFonts w:cs="Arial"/>
          <w:color w:val="984806"/>
          <w:sz w:val="20"/>
          <w:szCs w:val="20"/>
        </w:rPr>
        <w:t xml:space="preserve"> Capital expenditure by asset class</w:t>
      </w:r>
      <w:bookmarkEnd w:id="277"/>
      <w:bookmarkEnd w:id="278"/>
      <w:bookmarkEnd w:id="279"/>
    </w:p>
    <w:p w:rsidR="00792CD5" w:rsidRDefault="00351A24" w:rsidP="006E2DEB">
      <w:pPr>
        <w:pStyle w:val="Caption"/>
        <w:tabs>
          <w:tab w:val="left" w:pos="851"/>
        </w:tabs>
      </w:pPr>
      <w:r w:rsidRPr="00351A24">
        <w:drawing>
          <wp:inline distT="0" distB="0" distL="0" distR="0">
            <wp:extent cx="6557010" cy="6583680"/>
            <wp:effectExtent l="19050" t="0" r="0" b="0"/>
            <wp:docPr id="5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srcRect/>
                    <a:stretch>
                      <a:fillRect/>
                    </a:stretch>
                  </pic:blipFill>
                  <pic:spPr bwMode="auto">
                    <a:xfrm>
                      <a:off x="0" y="0"/>
                      <a:ext cx="6559493" cy="6586173"/>
                    </a:xfrm>
                    <a:prstGeom prst="rect">
                      <a:avLst/>
                    </a:prstGeom>
                    <a:noFill/>
                    <a:ln w="9525">
                      <a:noFill/>
                      <a:miter lim="800000"/>
                      <a:headEnd/>
                      <a:tailEnd/>
                    </a:ln>
                  </pic:spPr>
                </pic:pic>
              </a:graphicData>
            </a:graphic>
          </wp:inline>
        </w:drawing>
      </w:r>
    </w:p>
    <w:p w:rsidR="008E76AC" w:rsidRDefault="008E76AC" w:rsidP="00AB0B00">
      <w:pPr>
        <w:rPr>
          <w:lang w:val="en-ZA" w:eastAsia="en-ZA"/>
        </w:rPr>
      </w:pPr>
      <w:r w:rsidRPr="008E76AC">
        <w:rPr>
          <w:noProof/>
        </w:rPr>
        <w:lastRenderedPageBreak/>
        <w:drawing>
          <wp:inline distT="0" distB="0" distL="0" distR="0">
            <wp:extent cx="6557010" cy="1203960"/>
            <wp:effectExtent l="19050" t="0" r="0" b="0"/>
            <wp:docPr id="7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srcRect/>
                    <a:stretch>
                      <a:fillRect/>
                    </a:stretch>
                  </pic:blipFill>
                  <pic:spPr bwMode="auto">
                    <a:xfrm>
                      <a:off x="0" y="0"/>
                      <a:ext cx="6554970" cy="1203585"/>
                    </a:xfrm>
                    <a:prstGeom prst="rect">
                      <a:avLst/>
                    </a:prstGeom>
                    <a:noFill/>
                    <a:ln w="9525">
                      <a:noFill/>
                      <a:miter lim="800000"/>
                      <a:headEnd/>
                      <a:tailEnd/>
                    </a:ln>
                  </pic:spPr>
                </pic:pic>
              </a:graphicData>
            </a:graphic>
          </wp:inline>
        </w:drawing>
      </w:r>
    </w:p>
    <w:p w:rsidR="008E76AC" w:rsidRDefault="00351A24" w:rsidP="00AB0B00">
      <w:pPr>
        <w:rPr>
          <w:lang w:val="en-ZA" w:eastAsia="en-ZA"/>
        </w:rPr>
      </w:pPr>
      <w:r w:rsidRPr="00351A24">
        <w:drawing>
          <wp:inline distT="0" distB="0" distL="0" distR="0">
            <wp:extent cx="6557010" cy="7517130"/>
            <wp:effectExtent l="19050" t="0" r="0" b="0"/>
            <wp:docPr id="5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srcRect/>
                    <a:stretch>
                      <a:fillRect/>
                    </a:stretch>
                  </pic:blipFill>
                  <pic:spPr bwMode="auto">
                    <a:xfrm>
                      <a:off x="0" y="0"/>
                      <a:ext cx="6559051" cy="7519470"/>
                    </a:xfrm>
                    <a:prstGeom prst="rect">
                      <a:avLst/>
                    </a:prstGeom>
                    <a:noFill/>
                    <a:ln w="9525">
                      <a:noFill/>
                      <a:miter lim="800000"/>
                      <a:headEnd/>
                      <a:tailEnd/>
                    </a:ln>
                  </pic:spPr>
                </pic:pic>
              </a:graphicData>
            </a:graphic>
          </wp:inline>
        </w:drawing>
      </w:r>
    </w:p>
    <w:p w:rsidR="008E76AC" w:rsidRPr="00AB0B00" w:rsidRDefault="008E76AC" w:rsidP="00AB0B00">
      <w:pPr>
        <w:rPr>
          <w:lang w:val="en-ZA" w:eastAsia="en-ZA"/>
        </w:rPr>
      </w:pPr>
    </w:p>
    <w:p w:rsidR="006E2DEB" w:rsidRDefault="008E76AC" w:rsidP="006E2DEB">
      <w:pPr>
        <w:rPr>
          <w:lang w:val="en-ZA"/>
        </w:rPr>
      </w:pPr>
      <w:r w:rsidRPr="008E76AC">
        <w:rPr>
          <w:noProof/>
        </w:rPr>
        <w:lastRenderedPageBreak/>
        <w:drawing>
          <wp:inline distT="0" distB="0" distL="0" distR="0">
            <wp:extent cx="6442710" cy="1219200"/>
            <wp:effectExtent l="19050" t="0" r="0" b="0"/>
            <wp:docPr id="7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srcRect/>
                    <a:stretch>
                      <a:fillRect/>
                    </a:stretch>
                  </pic:blipFill>
                  <pic:spPr bwMode="auto">
                    <a:xfrm>
                      <a:off x="0" y="0"/>
                      <a:ext cx="6467903" cy="1223968"/>
                    </a:xfrm>
                    <a:prstGeom prst="rect">
                      <a:avLst/>
                    </a:prstGeom>
                    <a:noFill/>
                    <a:ln w="9525">
                      <a:noFill/>
                      <a:miter lim="800000"/>
                      <a:headEnd/>
                      <a:tailEnd/>
                    </a:ln>
                  </pic:spPr>
                </pic:pic>
              </a:graphicData>
            </a:graphic>
          </wp:inline>
        </w:drawing>
      </w:r>
    </w:p>
    <w:p w:rsidR="008E76AC" w:rsidRDefault="00D61EA3" w:rsidP="006E2DEB">
      <w:pPr>
        <w:rPr>
          <w:lang w:val="en-ZA"/>
        </w:rPr>
      </w:pPr>
      <w:r w:rsidRPr="00D61EA3">
        <w:drawing>
          <wp:inline distT="0" distB="0" distL="0" distR="0">
            <wp:extent cx="6442710" cy="7597140"/>
            <wp:effectExtent l="19050" t="0" r="0" b="0"/>
            <wp:docPr id="5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a:stretch>
                      <a:fillRect/>
                    </a:stretch>
                  </pic:blipFill>
                  <pic:spPr bwMode="auto">
                    <a:xfrm>
                      <a:off x="0" y="0"/>
                      <a:ext cx="6445500" cy="7600430"/>
                    </a:xfrm>
                    <a:prstGeom prst="rect">
                      <a:avLst/>
                    </a:prstGeom>
                    <a:noFill/>
                    <a:ln w="9525">
                      <a:noFill/>
                      <a:miter lim="800000"/>
                      <a:headEnd/>
                      <a:tailEnd/>
                    </a:ln>
                  </pic:spPr>
                </pic:pic>
              </a:graphicData>
            </a:graphic>
          </wp:inline>
        </w:drawing>
      </w:r>
    </w:p>
    <w:p w:rsidR="006E2DEB" w:rsidRDefault="006E2DEB" w:rsidP="006E2DEB">
      <w:pPr>
        <w:rPr>
          <w:lang w:val="en-ZA"/>
        </w:rPr>
      </w:pPr>
    </w:p>
    <w:p w:rsidR="005A697F" w:rsidRPr="002D6413" w:rsidRDefault="005A697F" w:rsidP="002D6413">
      <w:pPr>
        <w:pStyle w:val="Heading2"/>
        <w:numPr>
          <w:ilvl w:val="1"/>
          <w:numId w:val="9"/>
        </w:numPr>
        <w:ind w:left="567" w:hanging="567"/>
        <w:rPr>
          <w:color w:val="984806"/>
        </w:rPr>
      </w:pPr>
      <w:bookmarkStart w:id="280" w:name="_Toc286034156"/>
      <w:bookmarkStart w:id="281" w:name="_Toc286034747"/>
      <w:bookmarkStart w:id="282" w:name="_Toc286041451"/>
      <w:bookmarkStart w:id="283" w:name="_Toc286041520"/>
      <w:bookmarkStart w:id="284" w:name="_Toc286117331"/>
      <w:bookmarkStart w:id="285" w:name="_Toc287342542"/>
      <w:bookmarkStart w:id="286" w:name="_Toc287797091"/>
      <w:bookmarkStart w:id="287" w:name="_Toc356917082"/>
      <w:bookmarkStart w:id="288" w:name="_Toc3962579"/>
      <w:r w:rsidRPr="002D6413">
        <w:rPr>
          <w:color w:val="984806"/>
        </w:rPr>
        <w:lastRenderedPageBreak/>
        <w:t>Legislation compliance status</w:t>
      </w:r>
      <w:bookmarkEnd w:id="280"/>
      <w:bookmarkEnd w:id="281"/>
      <w:bookmarkEnd w:id="282"/>
      <w:bookmarkEnd w:id="283"/>
      <w:bookmarkEnd w:id="284"/>
      <w:bookmarkEnd w:id="285"/>
      <w:bookmarkEnd w:id="286"/>
      <w:bookmarkEnd w:id="287"/>
      <w:bookmarkEnd w:id="288"/>
    </w:p>
    <w:p w:rsidR="005A697F" w:rsidRPr="006B215D" w:rsidRDefault="005A697F" w:rsidP="006B215D">
      <w:pPr>
        <w:spacing w:line="276" w:lineRule="auto"/>
        <w:jc w:val="both"/>
        <w:rPr>
          <w:rFonts w:cs="Arial"/>
          <w:b/>
          <w:bCs/>
          <w:sz w:val="20"/>
          <w:szCs w:val="20"/>
        </w:rPr>
      </w:pPr>
    </w:p>
    <w:p w:rsidR="005A697F" w:rsidRPr="002A47F4" w:rsidRDefault="005A697F" w:rsidP="006B215D">
      <w:pPr>
        <w:spacing w:line="276" w:lineRule="auto"/>
        <w:jc w:val="both"/>
        <w:rPr>
          <w:rFonts w:cs="Arial"/>
          <w:sz w:val="22"/>
          <w:szCs w:val="22"/>
        </w:rPr>
      </w:pPr>
      <w:r w:rsidRPr="002A47F4">
        <w:rPr>
          <w:rFonts w:cs="Arial"/>
          <w:sz w:val="22"/>
          <w:szCs w:val="22"/>
        </w:rPr>
        <w:t>Compliance with the MFMA implementation requirements have been substantially adhered to through the following activities:</w:t>
      </w:r>
    </w:p>
    <w:p w:rsidR="005A697F" w:rsidRPr="002A47F4" w:rsidRDefault="005A697F" w:rsidP="006B215D">
      <w:pPr>
        <w:spacing w:line="276" w:lineRule="auto"/>
        <w:jc w:val="both"/>
        <w:rPr>
          <w:rFonts w:cs="Arial"/>
          <w:sz w:val="22"/>
          <w:szCs w:val="22"/>
        </w:rPr>
      </w:pPr>
    </w:p>
    <w:p w:rsidR="005A697F" w:rsidRPr="002A47F4" w:rsidRDefault="005A697F" w:rsidP="008621D7">
      <w:pPr>
        <w:pStyle w:val="ListParagraph"/>
        <w:numPr>
          <w:ilvl w:val="3"/>
          <w:numId w:val="1"/>
        </w:numPr>
        <w:tabs>
          <w:tab w:val="clear" w:pos="2880"/>
        </w:tabs>
        <w:spacing w:after="0"/>
        <w:ind w:left="426"/>
        <w:contextualSpacing/>
        <w:jc w:val="both"/>
        <w:rPr>
          <w:rFonts w:ascii="Arial" w:hAnsi="Arial" w:cs="Arial"/>
        </w:rPr>
      </w:pPr>
      <w:r w:rsidRPr="002A47F4">
        <w:rPr>
          <w:rFonts w:ascii="Arial" w:hAnsi="Arial" w:cs="Arial"/>
        </w:rPr>
        <w:t>In year reporting</w:t>
      </w:r>
    </w:p>
    <w:p w:rsidR="005A697F" w:rsidRPr="002A47F4" w:rsidRDefault="005A697F" w:rsidP="006B215D">
      <w:pPr>
        <w:spacing w:line="276" w:lineRule="auto"/>
        <w:ind w:left="426"/>
        <w:jc w:val="both"/>
        <w:rPr>
          <w:rFonts w:cs="Arial"/>
          <w:sz w:val="22"/>
          <w:szCs w:val="22"/>
        </w:rPr>
      </w:pPr>
      <w:r w:rsidRPr="002A47F4">
        <w:rPr>
          <w:rFonts w:cs="Arial"/>
          <w:sz w:val="22"/>
          <w:szCs w:val="22"/>
        </w:rPr>
        <w:t xml:space="preserve">Reporting to National Treasury in electronic format was fully complied with on a monthly basis.  Section 71 reporting to the Executive Mayor (within 10 working days) has progressively improved and includes monthly published financial performance on the </w:t>
      </w:r>
      <w:r w:rsidR="00A52B13" w:rsidRPr="002A47F4">
        <w:rPr>
          <w:rFonts w:cs="Arial"/>
          <w:sz w:val="22"/>
          <w:szCs w:val="22"/>
        </w:rPr>
        <w:t>Municipality</w:t>
      </w:r>
      <w:r w:rsidRPr="002A47F4">
        <w:rPr>
          <w:rFonts w:cs="Arial"/>
          <w:sz w:val="22"/>
          <w:szCs w:val="22"/>
        </w:rPr>
        <w:t>’s website.   </w:t>
      </w:r>
    </w:p>
    <w:p w:rsidR="005A697F" w:rsidRPr="002A47F4" w:rsidRDefault="005A697F" w:rsidP="006B215D">
      <w:pPr>
        <w:spacing w:line="276" w:lineRule="auto"/>
        <w:jc w:val="both"/>
        <w:rPr>
          <w:rFonts w:cs="Arial"/>
          <w:sz w:val="22"/>
          <w:szCs w:val="22"/>
        </w:rPr>
      </w:pPr>
    </w:p>
    <w:p w:rsidR="005A697F" w:rsidRPr="002A47F4" w:rsidRDefault="005A697F" w:rsidP="008621D7">
      <w:pPr>
        <w:pStyle w:val="ListParagraph"/>
        <w:numPr>
          <w:ilvl w:val="3"/>
          <w:numId w:val="1"/>
        </w:numPr>
        <w:tabs>
          <w:tab w:val="clear" w:pos="2880"/>
        </w:tabs>
        <w:spacing w:after="0"/>
        <w:ind w:left="426" w:hanging="426"/>
        <w:contextualSpacing/>
        <w:jc w:val="both"/>
        <w:rPr>
          <w:rFonts w:ascii="Arial" w:hAnsi="Arial" w:cs="Arial"/>
        </w:rPr>
      </w:pPr>
      <w:r w:rsidRPr="002A47F4">
        <w:rPr>
          <w:rFonts w:ascii="Arial" w:hAnsi="Arial" w:cs="Arial"/>
        </w:rPr>
        <w:t>Internship programme</w:t>
      </w:r>
    </w:p>
    <w:p w:rsidR="005A697F" w:rsidRPr="002A47F4" w:rsidRDefault="005A697F" w:rsidP="006B215D">
      <w:pPr>
        <w:spacing w:line="276" w:lineRule="auto"/>
        <w:ind w:left="426"/>
        <w:jc w:val="both"/>
        <w:rPr>
          <w:rFonts w:cs="Arial"/>
          <w:sz w:val="22"/>
          <w:szCs w:val="22"/>
        </w:rPr>
      </w:pPr>
      <w:r w:rsidRPr="002A47F4">
        <w:rPr>
          <w:rFonts w:cs="Arial"/>
          <w:sz w:val="22"/>
          <w:szCs w:val="22"/>
        </w:rPr>
        <w:t xml:space="preserve">The </w:t>
      </w:r>
      <w:r w:rsidR="00A52B13" w:rsidRPr="002A47F4">
        <w:rPr>
          <w:rFonts w:cs="Arial"/>
          <w:sz w:val="22"/>
          <w:szCs w:val="22"/>
        </w:rPr>
        <w:t>Municipality</w:t>
      </w:r>
      <w:r w:rsidRPr="002A47F4">
        <w:rPr>
          <w:rFonts w:cs="Arial"/>
          <w:sz w:val="22"/>
          <w:szCs w:val="22"/>
        </w:rPr>
        <w:t xml:space="preserve"> is participating in the Municipal Financial Management Internship programme and </w:t>
      </w:r>
      <w:r w:rsidR="00F44837" w:rsidRPr="002A47F4">
        <w:rPr>
          <w:rFonts w:cs="Arial"/>
          <w:sz w:val="22"/>
          <w:szCs w:val="22"/>
        </w:rPr>
        <w:t xml:space="preserve">is intending to </w:t>
      </w:r>
      <w:r w:rsidRPr="002A47F4">
        <w:rPr>
          <w:rFonts w:cs="Arial"/>
          <w:sz w:val="22"/>
          <w:szCs w:val="22"/>
        </w:rPr>
        <w:t xml:space="preserve">employ interns </w:t>
      </w:r>
      <w:r w:rsidR="00F44837" w:rsidRPr="002A47F4">
        <w:rPr>
          <w:rFonts w:cs="Arial"/>
          <w:sz w:val="22"/>
          <w:szCs w:val="22"/>
        </w:rPr>
        <w:t xml:space="preserve">to </w:t>
      </w:r>
      <w:r w:rsidRPr="002A47F4">
        <w:rPr>
          <w:rFonts w:cs="Arial"/>
          <w:sz w:val="22"/>
          <w:szCs w:val="22"/>
        </w:rPr>
        <w:t xml:space="preserve">undergo training in various divisions of the </w:t>
      </w:r>
      <w:r w:rsidR="00F44837" w:rsidRPr="002A47F4">
        <w:rPr>
          <w:rFonts w:cs="Arial"/>
          <w:sz w:val="22"/>
          <w:szCs w:val="22"/>
        </w:rPr>
        <w:t>Budget and Treasury Office</w:t>
      </w:r>
      <w:r w:rsidR="004A746F" w:rsidRPr="002A47F4">
        <w:rPr>
          <w:rFonts w:cs="Arial"/>
          <w:sz w:val="22"/>
          <w:szCs w:val="22"/>
        </w:rPr>
        <w:t>.</w:t>
      </w:r>
    </w:p>
    <w:p w:rsidR="005A697F" w:rsidRPr="002A47F4" w:rsidRDefault="005A697F" w:rsidP="006B215D">
      <w:pPr>
        <w:spacing w:line="276" w:lineRule="auto"/>
        <w:jc w:val="both"/>
        <w:rPr>
          <w:rFonts w:cs="Arial"/>
          <w:sz w:val="22"/>
          <w:szCs w:val="22"/>
        </w:rPr>
      </w:pPr>
    </w:p>
    <w:p w:rsidR="005A697F" w:rsidRPr="002A47F4" w:rsidRDefault="005A697F" w:rsidP="008621D7">
      <w:pPr>
        <w:pStyle w:val="ListParagraph"/>
        <w:numPr>
          <w:ilvl w:val="3"/>
          <w:numId w:val="1"/>
        </w:numPr>
        <w:tabs>
          <w:tab w:val="clear" w:pos="2880"/>
        </w:tabs>
        <w:spacing w:after="0"/>
        <w:ind w:left="426" w:hanging="426"/>
        <w:contextualSpacing/>
        <w:jc w:val="both"/>
        <w:rPr>
          <w:rFonts w:ascii="Arial" w:hAnsi="Arial" w:cs="Arial"/>
        </w:rPr>
      </w:pPr>
      <w:r w:rsidRPr="002A47F4">
        <w:rPr>
          <w:rFonts w:ascii="Arial" w:hAnsi="Arial" w:cs="Arial"/>
        </w:rPr>
        <w:t>Budget and Treasury Office</w:t>
      </w:r>
    </w:p>
    <w:p w:rsidR="005A697F" w:rsidRPr="002A47F4" w:rsidRDefault="005A697F" w:rsidP="006B215D">
      <w:pPr>
        <w:spacing w:line="276" w:lineRule="auto"/>
        <w:ind w:firstLine="426"/>
        <w:jc w:val="both"/>
        <w:rPr>
          <w:rFonts w:cs="Arial"/>
          <w:sz w:val="22"/>
          <w:szCs w:val="22"/>
        </w:rPr>
      </w:pPr>
      <w:r w:rsidRPr="002A47F4">
        <w:rPr>
          <w:rFonts w:cs="Arial"/>
          <w:sz w:val="22"/>
          <w:szCs w:val="22"/>
        </w:rPr>
        <w:t>The Budget and Treasury Office has been established in accordance with the MFMA.</w:t>
      </w:r>
    </w:p>
    <w:p w:rsidR="005A697F" w:rsidRPr="002A47F4" w:rsidRDefault="005A697F" w:rsidP="006B215D">
      <w:pPr>
        <w:spacing w:line="276" w:lineRule="auto"/>
        <w:jc w:val="both"/>
        <w:rPr>
          <w:rFonts w:cs="Arial"/>
          <w:sz w:val="22"/>
          <w:szCs w:val="22"/>
        </w:rPr>
      </w:pPr>
    </w:p>
    <w:p w:rsidR="005A697F" w:rsidRPr="002A47F4" w:rsidRDefault="005A697F" w:rsidP="008621D7">
      <w:pPr>
        <w:pStyle w:val="ListParagraph"/>
        <w:numPr>
          <w:ilvl w:val="3"/>
          <w:numId w:val="1"/>
        </w:numPr>
        <w:tabs>
          <w:tab w:val="clear" w:pos="2880"/>
        </w:tabs>
        <w:spacing w:after="0"/>
        <w:ind w:left="426" w:hanging="426"/>
        <w:contextualSpacing/>
        <w:jc w:val="both"/>
        <w:rPr>
          <w:rFonts w:ascii="Arial" w:hAnsi="Arial" w:cs="Arial"/>
        </w:rPr>
      </w:pPr>
      <w:r w:rsidRPr="002A47F4">
        <w:rPr>
          <w:rFonts w:ascii="Arial" w:hAnsi="Arial" w:cs="Arial"/>
        </w:rPr>
        <w:t>Audit Committee</w:t>
      </w:r>
    </w:p>
    <w:p w:rsidR="005A697F" w:rsidRPr="002A47F4" w:rsidRDefault="005A697F" w:rsidP="006B215D">
      <w:pPr>
        <w:spacing w:line="276" w:lineRule="auto"/>
        <w:ind w:firstLine="426"/>
        <w:jc w:val="both"/>
        <w:rPr>
          <w:rFonts w:cs="Arial"/>
          <w:sz w:val="22"/>
          <w:szCs w:val="22"/>
        </w:rPr>
      </w:pPr>
      <w:r w:rsidRPr="002A47F4">
        <w:rPr>
          <w:rFonts w:cs="Arial"/>
          <w:sz w:val="22"/>
          <w:szCs w:val="22"/>
        </w:rPr>
        <w:t>An Audit Committee has been established and is fully functional.</w:t>
      </w:r>
    </w:p>
    <w:p w:rsidR="005A697F" w:rsidRPr="002A47F4" w:rsidRDefault="005A697F" w:rsidP="006B215D">
      <w:pPr>
        <w:spacing w:line="276" w:lineRule="auto"/>
        <w:jc w:val="both"/>
        <w:rPr>
          <w:rFonts w:cs="Arial"/>
          <w:sz w:val="22"/>
          <w:szCs w:val="22"/>
        </w:rPr>
      </w:pPr>
    </w:p>
    <w:p w:rsidR="005A697F" w:rsidRPr="002A47F4" w:rsidRDefault="005A697F" w:rsidP="008621D7">
      <w:pPr>
        <w:pStyle w:val="ListParagraph"/>
        <w:numPr>
          <w:ilvl w:val="3"/>
          <w:numId w:val="1"/>
        </w:numPr>
        <w:tabs>
          <w:tab w:val="clear" w:pos="2880"/>
        </w:tabs>
        <w:spacing w:after="0"/>
        <w:ind w:left="426" w:hanging="426"/>
        <w:contextualSpacing/>
        <w:jc w:val="both"/>
        <w:rPr>
          <w:rFonts w:ascii="Arial" w:hAnsi="Arial" w:cs="Arial"/>
        </w:rPr>
      </w:pPr>
      <w:r w:rsidRPr="002A47F4">
        <w:rPr>
          <w:rFonts w:ascii="Arial" w:hAnsi="Arial" w:cs="Arial"/>
        </w:rPr>
        <w:t>Service Delivery and Implementation Plan</w:t>
      </w:r>
    </w:p>
    <w:p w:rsidR="005A697F" w:rsidRPr="002A47F4" w:rsidRDefault="00D61EA3" w:rsidP="006B215D">
      <w:pPr>
        <w:spacing w:line="276" w:lineRule="auto"/>
        <w:ind w:left="426"/>
        <w:jc w:val="both"/>
        <w:rPr>
          <w:rFonts w:cs="Arial"/>
          <w:sz w:val="22"/>
          <w:szCs w:val="22"/>
        </w:rPr>
      </w:pPr>
      <w:r>
        <w:rPr>
          <w:rFonts w:cs="Arial"/>
          <w:sz w:val="22"/>
          <w:szCs w:val="22"/>
        </w:rPr>
        <w:t xml:space="preserve">The detail SDBIP document has been reviewed and </w:t>
      </w:r>
      <w:r w:rsidR="005A697F" w:rsidRPr="002A47F4">
        <w:rPr>
          <w:rFonts w:cs="Arial"/>
          <w:sz w:val="22"/>
          <w:szCs w:val="22"/>
        </w:rPr>
        <w:t xml:space="preserve">will be finalised after approval of the </w:t>
      </w:r>
      <w:r w:rsidR="008E76AC">
        <w:rPr>
          <w:rFonts w:cs="Arial"/>
          <w:sz w:val="22"/>
          <w:szCs w:val="22"/>
        </w:rPr>
        <w:t xml:space="preserve">2020/21 </w:t>
      </w:r>
      <w:r w:rsidR="00583636" w:rsidRPr="002A47F4">
        <w:rPr>
          <w:rFonts w:cs="Arial"/>
          <w:sz w:val="22"/>
          <w:szCs w:val="22"/>
        </w:rPr>
        <w:t>MTREF o</w:t>
      </w:r>
      <w:r w:rsidR="005A697F" w:rsidRPr="002A47F4">
        <w:rPr>
          <w:rFonts w:cs="Arial"/>
          <w:sz w:val="22"/>
          <w:szCs w:val="22"/>
        </w:rPr>
        <w:t>n</w:t>
      </w:r>
      <w:r>
        <w:rPr>
          <w:rFonts w:cs="Arial"/>
          <w:sz w:val="22"/>
          <w:szCs w:val="22"/>
        </w:rPr>
        <w:t xml:space="preserve"> 28 May</w:t>
      </w:r>
      <w:r w:rsidR="008E76AC">
        <w:rPr>
          <w:rFonts w:cs="Arial"/>
          <w:sz w:val="22"/>
          <w:szCs w:val="22"/>
        </w:rPr>
        <w:t xml:space="preserve"> 2020</w:t>
      </w:r>
      <w:r w:rsidR="005A697F" w:rsidRPr="002A47F4">
        <w:rPr>
          <w:rFonts w:cs="Arial"/>
          <w:sz w:val="22"/>
          <w:szCs w:val="22"/>
        </w:rPr>
        <w:t xml:space="preserve"> directly aligned and informed by the </w:t>
      </w:r>
      <w:r w:rsidR="008E76AC">
        <w:rPr>
          <w:rFonts w:cs="Arial"/>
          <w:sz w:val="22"/>
          <w:szCs w:val="22"/>
        </w:rPr>
        <w:t xml:space="preserve">2020/21 </w:t>
      </w:r>
      <w:r w:rsidR="005A697F" w:rsidRPr="002A47F4">
        <w:rPr>
          <w:rFonts w:cs="Arial"/>
          <w:sz w:val="22"/>
          <w:szCs w:val="22"/>
        </w:rPr>
        <w:t>MTREF.</w:t>
      </w:r>
    </w:p>
    <w:p w:rsidR="005A697F" w:rsidRPr="002A47F4" w:rsidRDefault="005A697F" w:rsidP="006B215D">
      <w:pPr>
        <w:spacing w:line="276" w:lineRule="auto"/>
        <w:jc w:val="both"/>
        <w:rPr>
          <w:rFonts w:cs="Arial"/>
          <w:sz w:val="22"/>
          <w:szCs w:val="22"/>
        </w:rPr>
      </w:pPr>
    </w:p>
    <w:p w:rsidR="005A697F" w:rsidRPr="002A47F4" w:rsidRDefault="005A697F" w:rsidP="008621D7">
      <w:pPr>
        <w:pStyle w:val="ListParagraph"/>
        <w:numPr>
          <w:ilvl w:val="3"/>
          <w:numId w:val="1"/>
        </w:numPr>
        <w:tabs>
          <w:tab w:val="clear" w:pos="2880"/>
        </w:tabs>
        <w:spacing w:after="0"/>
        <w:ind w:left="426"/>
        <w:contextualSpacing/>
        <w:jc w:val="both"/>
        <w:rPr>
          <w:rFonts w:ascii="Arial" w:hAnsi="Arial" w:cs="Arial"/>
        </w:rPr>
      </w:pPr>
      <w:r w:rsidRPr="002A47F4">
        <w:rPr>
          <w:rFonts w:ascii="Arial" w:hAnsi="Arial" w:cs="Arial"/>
        </w:rPr>
        <w:t>Annual Report</w:t>
      </w:r>
    </w:p>
    <w:p w:rsidR="005A697F" w:rsidRPr="002A47F4" w:rsidRDefault="005A697F" w:rsidP="006B215D">
      <w:pPr>
        <w:spacing w:line="276" w:lineRule="auto"/>
        <w:ind w:left="426"/>
        <w:jc w:val="both"/>
        <w:rPr>
          <w:rFonts w:cs="Arial"/>
          <w:sz w:val="22"/>
          <w:szCs w:val="22"/>
        </w:rPr>
      </w:pPr>
      <w:r w:rsidRPr="002A47F4">
        <w:rPr>
          <w:rFonts w:cs="Arial"/>
          <w:sz w:val="22"/>
          <w:szCs w:val="22"/>
        </w:rPr>
        <w:t xml:space="preserve">Annual report </w:t>
      </w:r>
      <w:r w:rsidR="004A746F" w:rsidRPr="002A47F4">
        <w:rPr>
          <w:rFonts w:cs="Arial"/>
          <w:sz w:val="22"/>
          <w:szCs w:val="22"/>
        </w:rPr>
        <w:t>has been</w:t>
      </w:r>
      <w:r w:rsidRPr="002A47F4">
        <w:rPr>
          <w:rFonts w:cs="Arial"/>
          <w:sz w:val="22"/>
          <w:szCs w:val="22"/>
        </w:rPr>
        <w:t xml:space="preserve"> compiled in terms of the MFMA and National Treasury requirements.</w:t>
      </w:r>
    </w:p>
    <w:p w:rsidR="005A697F" w:rsidRPr="002A47F4" w:rsidRDefault="005A697F" w:rsidP="006B215D">
      <w:pPr>
        <w:spacing w:line="276" w:lineRule="auto"/>
        <w:jc w:val="both"/>
        <w:rPr>
          <w:rFonts w:cs="Arial"/>
          <w:sz w:val="22"/>
          <w:szCs w:val="22"/>
        </w:rPr>
      </w:pPr>
    </w:p>
    <w:p w:rsidR="005A697F" w:rsidRPr="002A47F4" w:rsidRDefault="005A697F" w:rsidP="008621D7">
      <w:pPr>
        <w:pStyle w:val="ListParagraph"/>
        <w:numPr>
          <w:ilvl w:val="0"/>
          <w:numId w:val="2"/>
        </w:numPr>
        <w:spacing w:after="0"/>
        <w:ind w:left="426" w:hanging="426"/>
        <w:contextualSpacing/>
        <w:jc w:val="both"/>
        <w:rPr>
          <w:rFonts w:ascii="Arial" w:hAnsi="Arial" w:cs="Arial"/>
        </w:rPr>
      </w:pPr>
      <w:r w:rsidRPr="002A47F4">
        <w:rPr>
          <w:rFonts w:ascii="Arial" w:hAnsi="Arial" w:cs="Arial"/>
        </w:rPr>
        <w:t>MFMA Training</w:t>
      </w:r>
    </w:p>
    <w:p w:rsidR="005A697F" w:rsidRPr="002A47F4" w:rsidRDefault="005A697F" w:rsidP="006B215D">
      <w:pPr>
        <w:spacing w:line="276" w:lineRule="auto"/>
        <w:ind w:left="426"/>
        <w:jc w:val="both"/>
        <w:rPr>
          <w:rFonts w:cs="Arial"/>
          <w:sz w:val="22"/>
          <w:szCs w:val="22"/>
        </w:rPr>
      </w:pPr>
      <w:r w:rsidRPr="002A47F4">
        <w:rPr>
          <w:rFonts w:cs="Arial"/>
          <w:sz w:val="22"/>
          <w:szCs w:val="22"/>
        </w:rPr>
        <w:t xml:space="preserve">The MFMA training module in electronic format is presented at the </w:t>
      </w:r>
      <w:r w:rsidR="00A52B13" w:rsidRPr="002A47F4">
        <w:rPr>
          <w:rFonts w:cs="Arial"/>
          <w:sz w:val="22"/>
          <w:szCs w:val="22"/>
        </w:rPr>
        <w:t>Municipality</w:t>
      </w:r>
      <w:r w:rsidRPr="002A47F4">
        <w:rPr>
          <w:rFonts w:cs="Arial"/>
          <w:sz w:val="22"/>
          <w:szCs w:val="22"/>
        </w:rPr>
        <w:t>’s internal centre and training is ongoing.</w:t>
      </w:r>
    </w:p>
    <w:p w:rsidR="005A697F" w:rsidRPr="006B215D" w:rsidRDefault="005A697F" w:rsidP="006B215D">
      <w:pPr>
        <w:spacing w:line="276" w:lineRule="auto"/>
        <w:ind w:left="426"/>
        <w:jc w:val="both"/>
        <w:rPr>
          <w:rFonts w:cs="Arial"/>
          <w:b/>
          <w:bCs/>
          <w:sz w:val="20"/>
          <w:szCs w:val="20"/>
        </w:rPr>
      </w:pPr>
      <w:r w:rsidRPr="006B215D">
        <w:rPr>
          <w:rFonts w:cs="Arial"/>
          <w:sz w:val="20"/>
          <w:szCs w:val="20"/>
        </w:rPr>
        <w:t>.</w:t>
      </w:r>
    </w:p>
    <w:p w:rsidR="003E18DC" w:rsidRDefault="003E18DC" w:rsidP="006B215D">
      <w:pPr>
        <w:spacing w:line="276" w:lineRule="auto"/>
        <w:jc w:val="both"/>
        <w:rPr>
          <w:rFonts w:cs="Arial"/>
          <w:b/>
          <w:bCs/>
          <w:sz w:val="20"/>
          <w:szCs w:val="20"/>
        </w:rPr>
      </w:pPr>
      <w:r>
        <w:rPr>
          <w:rFonts w:cs="Arial"/>
          <w:b/>
          <w:bCs/>
          <w:sz w:val="20"/>
          <w:szCs w:val="20"/>
        </w:rPr>
        <w:br w:type="page"/>
      </w:r>
    </w:p>
    <w:p w:rsidR="005A697F" w:rsidRPr="006B153D" w:rsidRDefault="005A697F" w:rsidP="006B153D">
      <w:pPr>
        <w:pStyle w:val="Heading2"/>
        <w:numPr>
          <w:ilvl w:val="1"/>
          <w:numId w:val="9"/>
        </w:numPr>
        <w:ind w:left="567" w:hanging="567"/>
        <w:rPr>
          <w:color w:val="984806"/>
        </w:rPr>
      </w:pPr>
      <w:bookmarkStart w:id="289" w:name="_Toc286034158"/>
      <w:bookmarkStart w:id="290" w:name="_Toc286034749"/>
      <w:bookmarkStart w:id="291" w:name="_Toc286041453"/>
      <w:bookmarkStart w:id="292" w:name="_Toc286041522"/>
      <w:bookmarkStart w:id="293" w:name="_Toc286117333"/>
      <w:bookmarkStart w:id="294" w:name="_Toc287342544"/>
      <w:bookmarkStart w:id="295" w:name="_Toc287797093"/>
      <w:bookmarkStart w:id="296" w:name="_Toc356917083"/>
      <w:bookmarkStart w:id="297" w:name="_Toc3962580"/>
      <w:r w:rsidRPr="006B153D">
        <w:rPr>
          <w:color w:val="984806"/>
        </w:rPr>
        <w:lastRenderedPageBreak/>
        <w:t>Municipal manager’s quality certificate</w:t>
      </w:r>
      <w:bookmarkEnd w:id="289"/>
      <w:bookmarkEnd w:id="290"/>
      <w:bookmarkEnd w:id="291"/>
      <w:bookmarkEnd w:id="292"/>
      <w:bookmarkEnd w:id="293"/>
      <w:bookmarkEnd w:id="294"/>
      <w:bookmarkEnd w:id="295"/>
      <w:bookmarkEnd w:id="296"/>
      <w:bookmarkEnd w:id="297"/>
    </w:p>
    <w:p w:rsidR="00223CBD" w:rsidRDefault="00223CBD" w:rsidP="006B215D">
      <w:pPr>
        <w:spacing w:line="276" w:lineRule="auto"/>
        <w:jc w:val="both"/>
        <w:rPr>
          <w:rFonts w:cs="Arial"/>
          <w:sz w:val="20"/>
          <w:szCs w:val="20"/>
        </w:rPr>
      </w:pPr>
    </w:p>
    <w:p w:rsidR="00223CBD" w:rsidRPr="002A47F4" w:rsidRDefault="00223CBD" w:rsidP="006B215D">
      <w:pPr>
        <w:spacing w:line="276" w:lineRule="auto"/>
        <w:jc w:val="both"/>
        <w:rPr>
          <w:rFonts w:cs="Arial"/>
          <w:sz w:val="22"/>
          <w:szCs w:val="22"/>
        </w:rPr>
      </w:pPr>
    </w:p>
    <w:p w:rsidR="00223CBD" w:rsidRPr="002A47F4" w:rsidRDefault="00223CBD" w:rsidP="00223CBD">
      <w:pPr>
        <w:spacing w:line="276" w:lineRule="auto"/>
        <w:jc w:val="both"/>
        <w:rPr>
          <w:rFonts w:cs="Arial"/>
          <w:sz w:val="22"/>
          <w:szCs w:val="22"/>
          <w:lang w:val="en-GB" w:eastAsia="en-GB"/>
        </w:rPr>
      </w:pPr>
    </w:p>
    <w:p w:rsidR="00223CBD" w:rsidRPr="002A47F4" w:rsidRDefault="00223CBD" w:rsidP="00223CBD">
      <w:pPr>
        <w:spacing w:line="276" w:lineRule="auto"/>
        <w:jc w:val="both"/>
        <w:rPr>
          <w:rFonts w:cs="Arial"/>
          <w:sz w:val="22"/>
          <w:szCs w:val="22"/>
          <w:lang w:val="en-GB" w:eastAsia="en-GB"/>
        </w:rPr>
      </w:pPr>
    </w:p>
    <w:p w:rsidR="00223CBD" w:rsidRPr="002A47F4" w:rsidRDefault="00223CBD" w:rsidP="00223CBD">
      <w:pPr>
        <w:spacing w:line="276" w:lineRule="auto"/>
        <w:jc w:val="both"/>
        <w:rPr>
          <w:rFonts w:cs="Arial"/>
          <w:sz w:val="22"/>
          <w:szCs w:val="22"/>
          <w:lang w:val="en-GB" w:eastAsia="en-GB"/>
        </w:rPr>
      </w:pPr>
      <w:r w:rsidRPr="002A47F4">
        <w:rPr>
          <w:rFonts w:cs="Arial"/>
          <w:sz w:val="22"/>
          <w:szCs w:val="22"/>
          <w:lang w:val="en-GB" w:eastAsia="en-GB"/>
        </w:rPr>
        <w:t>I ___________</w:t>
      </w:r>
      <w:r w:rsidR="00843394" w:rsidRPr="002A47F4">
        <w:rPr>
          <w:rFonts w:cs="Arial"/>
          <w:sz w:val="22"/>
          <w:szCs w:val="22"/>
          <w:lang w:val="en-GB" w:eastAsia="en-GB"/>
        </w:rPr>
        <w:t>_____________________________, Municipal Manager of Joe Gqabi District</w:t>
      </w:r>
      <w:r w:rsidRPr="002A47F4">
        <w:rPr>
          <w:rFonts w:cs="Arial"/>
          <w:sz w:val="22"/>
          <w:szCs w:val="22"/>
          <w:lang w:val="en-GB" w:eastAsia="en-GB"/>
        </w:rPr>
        <w:t xml:space="preserve"> Municipality hereby certify that the annual budget and supporting documentation have been prepared in accordance with the</w:t>
      </w:r>
      <w:r w:rsidR="00CB192E">
        <w:rPr>
          <w:rFonts w:cs="Arial"/>
          <w:sz w:val="22"/>
          <w:szCs w:val="22"/>
          <w:lang w:val="en-GB" w:eastAsia="en-GB"/>
        </w:rPr>
        <w:t xml:space="preserve"> </w:t>
      </w:r>
      <w:r w:rsidRPr="002A47F4">
        <w:rPr>
          <w:rFonts w:cs="Arial"/>
          <w:sz w:val="22"/>
          <w:szCs w:val="22"/>
          <w:lang w:val="en-GB" w:eastAsia="en-GB"/>
        </w:rPr>
        <w:t>Municipal Finance Management Act 56 of 2003 and the regulations made under the Act, and that the annual budget and supporting documents are consistent with the Integrated Development Plan of the municipality.</w:t>
      </w:r>
    </w:p>
    <w:p w:rsidR="00223CBD" w:rsidRPr="002A47F4" w:rsidRDefault="00223CBD" w:rsidP="00223CBD">
      <w:pPr>
        <w:spacing w:line="276" w:lineRule="auto"/>
        <w:jc w:val="both"/>
        <w:rPr>
          <w:rFonts w:cs="Arial"/>
          <w:sz w:val="22"/>
          <w:szCs w:val="22"/>
          <w:lang w:val="en-GB" w:eastAsia="en-GB"/>
        </w:rPr>
      </w:pPr>
    </w:p>
    <w:p w:rsidR="00223CBD" w:rsidRPr="002A47F4" w:rsidRDefault="00223CBD" w:rsidP="00223CBD">
      <w:pPr>
        <w:spacing w:line="276" w:lineRule="auto"/>
        <w:jc w:val="both"/>
        <w:rPr>
          <w:rFonts w:cs="Arial"/>
          <w:sz w:val="22"/>
          <w:szCs w:val="22"/>
          <w:lang w:val="en-GB" w:eastAsia="en-GB"/>
        </w:rPr>
      </w:pPr>
    </w:p>
    <w:p w:rsidR="00223CBD" w:rsidRPr="002A47F4" w:rsidRDefault="00223CBD" w:rsidP="00223CBD">
      <w:pPr>
        <w:spacing w:line="276" w:lineRule="auto"/>
        <w:jc w:val="both"/>
        <w:rPr>
          <w:rFonts w:cs="Arial"/>
          <w:sz w:val="22"/>
          <w:szCs w:val="22"/>
          <w:lang w:val="en-GB" w:eastAsia="en-GB"/>
        </w:rPr>
      </w:pPr>
      <w:r w:rsidRPr="002A47F4">
        <w:rPr>
          <w:rFonts w:cs="Arial"/>
          <w:sz w:val="22"/>
          <w:szCs w:val="22"/>
          <w:lang w:val="en-GB" w:eastAsia="en-GB"/>
        </w:rPr>
        <w:t>Signature</w:t>
      </w:r>
    </w:p>
    <w:p w:rsidR="00223CBD" w:rsidRPr="002A47F4" w:rsidRDefault="00223CBD" w:rsidP="00223CBD">
      <w:pPr>
        <w:spacing w:line="276" w:lineRule="auto"/>
        <w:jc w:val="both"/>
        <w:rPr>
          <w:rFonts w:cs="Arial"/>
          <w:sz w:val="22"/>
          <w:szCs w:val="22"/>
          <w:lang w:val="en-GB" w:eastAsia="en-GB"/>
        </w:rPr>
      </w:pPr>
    </w:p>
    <w:p w:rsidR="00223CBD" w:rsidRPr="002A47F4" w:rsidRDefault="00223CBD" w:rsidP="00223CBD">
      <w:pPr>
        <w:spacing w:line="276" w:lineRule="auto"/>
        <w:jc w:val="both"/>
        <w:rPr>
          <w:rFonts w:cs="Arial"/>
          <w:sz w:val="22"/>
          <w:szCs w:val="22"/>
          <w:lang w:val="en-GB" w:eastAsia="en-GB"/>
        </w:rPr>
      </w:pPr>
    </w:p>
    <w:p w:rsidR="00223CBD" w:rsidRPr="002A47F4" w:rsidRDefault="00223CBD" w:rsidP="00223CBD">
      <w:pPr>
        <w:spacing w:line="276" w:lineRule="auto"/>
        <w:jc w:val="both"/>
        <w:rPr>
          <w:rFonts w:cs="Arial"/>
          <w:sz w:val="22"/>
          <w:szCs w:val="22"/>
          <w:lang w:val="en-GB" w:eastAsia="en-GB"/>
        </w:rPr>
      </w:pPr>
      <w:r w:rsidRPr="002A47F4">
        <w:rPr>
          <w:rFonts w:cs="Arial"/>
          <w:sz w:val="22"/>
          <w:szCs w:val="22"/>
          <w:lang w:val="en-GB" w:eastAsia="en-GB"/>
        </w:rPr>
        <w:t>________________________________________</w:t>
      </w:r>
    </w:p>
    <w:p w:rsidR="00223CBD" w:rsidRPr="002A47F4" w:rsidRDefault="00843394" w:rsidP="00223CBD">
      <w:pPr>
        <w:spacing w:line="276" w:lineRule="auto"/>
        <w:jc w:val="both"/>
        <w:rPr>
          <w:rFonts w:cs="Arial"/>
          <w:sz w:val="22"/>
          <w:szCs w:val="22"/>
          <w:lang w:val="en-GB" w:eastAsia="en-GB"/>
        </w:rPr>
      </w:pPr>
      <w:r w:rsidRPr="002A47F4">
        <w:rPr>
          <w:rFonts w:cs="Arial"/>
          <w:sz w:val="22"/>
          <w:szCs w:val="22"/>
          <w:lang w:val="en-GB" w:eastAsia="en-GB"/>
        </w:rPr>
        <w:t>ZA Williams</w:t>
      </w:r>
    </w:p>
    <w:p w:rsidR="003F1FBD" w:rsidRPr="002A47F4" w:rsidRDefault="00223CBD" w:rsidP="00223CBD">
      <w:pPr>
        <w:spacing w:line="276" w:lineRule="auto"/>
        <w:jc w:val="both"/>
        <w:rPr>
          <w:rFonts w:cs="Arial"/>
          <w:sz w:val="22"/>
          <w:szCs w:val="22"/>
          <w:lang w:val="en-GB" w:eastAsia="en-GB"/>
        </w:rPr>
      </w:pPr>
      <w:r w:rsidRPr="002A47F4">
        <w:rPr>
          <w:rFonts w:cs="Arial"/>
          <w:sz w:val="22"/>
          <w:szCs w:val="22"/>
          <w:lang w:val="en-GB" w:eastAsia="en-GB"/>
        </w:rPr>
        <w:t xml:space="preserve">Municipal Manager </w:t>
      </w:r>
    </w:p>
    <w:p w:rsidR="00223CBD" w:rsidRPr="002A47F4" w:rsidRDefault="00843394" w:rsidP="00223CBD">
      <w:pPr>
        <w:spacing w:line="276" w:lineRule="auto"/>
        <w:jc w:val="both"/>
        <w:rPr>
          <w:rFonts w:cs="Arial"/>
          <w:sz w:val="22"/>
          <w:szCs w:val="22"/>
          <w:lang w:val="en-GB" w:eastAsia="en-GB"/>
        </w:rPr>
      </w:pPr>
      <w:r w:rsidRPr="002A47F4">
        <w:rPr>
          <w:rFonts w:cs="Arial"/>
          <w:sz w:val="22"/>
          <w:szCs w:val="22"/>
          <w:lang w:val="en-GB" w:eastAsia="en-GB"/>
        </w:rPr>
        <w:t>Joe Gqabi District Municipality (</w:t>
      </w:r>
      <w:r w:rsidR="003F1FBD" w:rsidRPr="002A47F4">
        <w:rPr>
          <w:rFonts w:cs="Arial"/>
          <w:sz w:val="22"/>
          <w:szCs w:val="22"/>
          <w:lang w:val="en-GB" w:eastAsia="en-GB"/>
        </w:rPr>
        <w:t>DC14)</w:t>
      </w:r>
    </w:p>
    <w:p w:rsidR="00223CBD" w:rsidRPr="002A47F4" w:rsidRDefault="00223CBD" w:rsidP="00223CBD">
      <w:pPr>
        <w:spacing w:line="276" w:lineRule="auto"/>
        <w:jc w:val="both"/>
        <w:rPr>
          <w:rFonts w:cs="Arial"/>
          <w:sz w:val="22"/>
          <w:szCs w:val="22"/>
          <w:lang w:val="en-GB" w:eastAsia="en-GB"/>
        </w:rPr>
      </w:pPr>
    </w:p>
    <w:p w:rsidR="00223CBD" w:rsidRPr="002A47F4" w:rsidRDefault="00223CBD" w:rsidP="00223CBD">
      <w:pPr>
        <w:spacing w:line="276" w:lineRule="auto"/>
        <w:jc w:val="both"/>
        <w:rPr>
          <w:rFonts w:cs="Arial"/>
          <w:sz w:val="22"/>
          <w:szCs w:val="22"/>
          <w:lang w:val="en-GB" w:eastAsia="en-GB"/>
        </w:rPr>
      </w:pPr>
    </w:p>
    <w:p w:rsidR="005A697F" w:rsidRPr="002A47F4" w:rsidRDefault="005A697F" w:rsidP="006B215D">
      <w:pPr>
        <w:spacing w:line="276" w:lineRule="auto"/>
        <w:jc w:val="both"/>
        <w:rPr>
          <w:rFonts w:cs="Arial"/>
          <w:sz w:val="22"/>
          <w:szCs w:val="22"/>
          <w:lang w:val="en-GB" w:eastAsia="en-GB"/>
        </w:rPr>
      </w:pPr>
      <w:r w:rsidRPr="002A47F4">
        <w:rPr>
          <w:rFonts w:cs="Arial"/>
          <w:sz w:val="22"/>
          <w:szCs w:val="22"/>
          <w:lang w:val="en-GB" w:eastAsia="en-GB"/>
        </w:rPr>
        <w:t>Date:</w:t>
      </w:r>
      <w:r w:rsidRPr="002A47F4">
        <w:rPr>
          <w:rFonts w:cs="Arial"/>
          <w:sz w:val="22"/>
          <w:szCs w:val="22"/>
          <w:lang w:val="en-GB" w:eastAsia="en-GB"/>
        </w:rPr>
        <w:tab/>
        <w:t>____________________</w:t>
      </w:r>
    </w:p>
    <w:p w:rsidR="005A697F" w:rsidRPr="002A47F4" w:rsidRDefault="005A697F" w:rsidP="006B215D">
      <w:pPr>
        <w:spacing w:line="276" w:lineRule="auto"/>
        <w:jc w:val="both"/>
        <w:rPr>
          <w:rFonts w:cs="Arial"/>
          <w:sz w:val="22"/>
          <w:szCs w:val="22"/>
          <w:lang w:val="en-GB" w:eastAsia="en-GB"/>
        </w:rPr>
      </w:pPr>
    </w:p>
    <w:p w:rsidR="005A697F" w:rsidRPr="006B215D" w:rsidRDefault="005A697F" w:rsidP="006B215D">
      <w:pPr>
        <w:widowControl w:val="0"/>
        <w:autoSpaceDE w:val="0"/>
        <w:autoSpaceDN w:val="0"/>
        <w:adjustRightInd w:val="0"/>
        <w:spacing w:line="276" w:lineRule="auto"/>
        <w:jc w:val="both"/>
        <w:rPr>
          <w:rFonts w:cs="Arial"/>
          <w:sz w:val="20"/>
          <w:szCs w:val="20"/>
        </w:rPr>
      </w:pPr>
    </w:p>
    <w:sectPr w:rsidR="005A697F" w:rsidRPr="006B215D" w:rsidSect="00C70AAA">
      <w:pgSz w:w="11907" w:h="16840" w:code="9"/>
      <w:pgMar w:top="1134" w:right="1134" w:bottom="1134" w:left="1134" w:header="720" w:footer="720" w:gutter="0"/>
      <w:cols w:space="720" w:equalWidth="0">
        <w:col w:w="9659"/>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7C" w:rsidRDefault="00A0557C">
      <w:r>
        <w:separator/>
      </w:r>
    </w:p>
  </w:endnote>
  <w:endnote w:type="continuationSeparator" w:id="1">
    <w:p w:rsidR="00A0557C" w:rsidRDefault="00A05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94" w:rsidRDefault="008F6D94" w:rsidP="00FE7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6D94" w:rsidRDefault="008F6D94" w:rsidP="00FE7B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94" w:rsidRPr="00B927A3" w:rsidRDefault="008F6D94" w:rsidP="00837589">
    <w:pPr>
      <w:pStyle w:val="Footer"/>
      <w:framePr w:wrap="around" w:vAnchor="text" w:hAnchor="margin" w:xAlign="center" w:y="1"/>
      <w:rPr>
        <w:rStyle w:val="PageNumber"/>
        <w:b/>
        <w:sz w:val="22"/>
        <w:szCs w:val="22"/>
      </w:rPr>
    </w:pPr>
  </w:p>
  <w:p w:rsidR="008F6D94" w:rsidRDefault="008F6D94" w:rsidP="00C373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94" w:rsidRPr="00B927A3" w:rsidRDefault="008F6D94" w:rsidP="00FE7B1F">
    <w:pPr>
      <w:pStyle w:val="Footer"/>
      <w:framePr w:wrap="around" w:vAnchor="text" w:hAnchor="margin" w:xAlign="center" w:y="1"/>
      <w:rPr>
        <w:rStyle w:val="PageNumber"/>
        <w:b/>
        <w:sz w:val="22"/>
        <w:szCs w:val="22"/>
      </w:rPr>
    </w:pPr>
  </w:p>
  <w:p w:rsidR="008F6D94" w:rsidRDefault="008F6D94" w:rsidP="0095026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7C" w:rsidRDefault="00A0557C">
      <w:r>
        <w:separator/>
      </w:r>
    </w:p>
  </w:footnote>
  <w:footnote w:type="continuationSeparator" w:id="1">
    <w:p w:rsidR="00A0557C" w:rsidRDefault="00A05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D94" w:rsidRPr="0051026D" w:rsidRDefault="008F6D94" w:rsidP="00CE228C">
    <w:pPr>
      <w:pStyle w:val="Header"/>
      <w:pBdr>
        <w:top w:val="single" w:sz="4" w:space="1" w:color="auto"/>
        <w:left w:val="single" w:sz="4" w:space="4" w:color="auto"/>
        <w:bottom w:val="single" w:sz="4" w:space="1" w:color="auto"/>
        <w:right w:val="single" w:sz="4" w:space="4" w:color="auto"/>
      </w:pBdr>
      <w:rPr>
        <w:rFonts w:cs="Arial"/>
        <w:b/>
        <w:color w:val="984806"/>
        <w:sz w:val="16"/>
        <w:szCs w:val="16"/>
      </w:rPr>
    </w:pPr>
    <w:r w:rsidRPr="0051026D">
      <w:rPr>
        <w:rFonts w:cs="Arial"/>
        <w:b/>
        <w:color w:val="984806"/>
        <w:sz w:val="16"/>
        <w:szCs w:val="16"/>
      </w:rPr>
      <w:t xml:space="preserve">Joe Gqabi District Municipality – </w:t>
    </w:r>
    <w:r>
      <w:rPr>
        <w:rFonts w:cs="Arial"/>
        <w:b/>
        <w:color w:val="984806"/>
        <w:sz w:val="16"/>
        <w:szCs w:val="16"/>
      </w:rPr>
      <w:t>2020/21 FINAL Budget</w:t>
    </w:r>
    <w:r w:rsidRPr="0051026D">
      <w:rPr>
        <w:rFonts w:cs="Arial"/>
        <w:b/>
        <w:color w:val="984806"/>
        <w:sz w:val="16"/>
        <w:szCs w:val="16"/>
      </w:rPr>
      <w:t xml:space="preserve"> MTREF (</w:t>
    </w:r>
    <w:r>
      <w:rPr>
        <w:rFonts w:cs="Arial"/>
        <w:b/>
        <w:color w:val="984806"/>
        <w:sz w:val="16"/>
        <w:szCs w:val="16"/>
      </w:rPr>
      <w:t xml:space="preserve">for Approval </w:t>
    </w:r>
    <w:r w:rsidRPr="0051026D">
      <w:rPr>
        <w:rFonts w:cs="Arial"/>
        <w:b/>
        <w:color w:val="984806"/>
        <w:sz w:val="16"/>
        <w:szCs w:val="16"/>
      </w:rPr>
      <w:t>by Council)</w:t>
    </w:r>
  </w:p>
  <w:p w:rsidR="008F6D94" w:rsidRPr="0051026D" w:rsidRDefault="008F6D94" w:rsidP="00CE228C">
    <w:pPr>
      <w:pStyle w:val="Header"/>
      <w:pBdr>
        <w:top w:val="single" w:sz="4" w:space="1" w:color="auto"/>
        <w:left w:val="single" w:sz="4" w:space="4" w:color="auto"/>
        <w:bottom w:val="single" w:sz="4" w:space="1" w:color="auto"/>
        <w:right w:val="single" w:sz="4" w:space="4" w:color="auto"/>
      </w:pBdr>
      <w:rPr>
        <w:rFonts w:cs="Arial"/>
        <w:color w:val="984806"/>
      </w:rPr>
    </w:pPr>
    <w:r>
      <w:rPr>
        <w:rFonts w:cs="Arial"/>
        <w:b/>
        <w:color w:val="984806"/>
        <w:sz w:val="16"/>
        <w:szCs w:val="16"/>
      </w:rPr>
      <w:t>(28 May 2020</w:t>
    </w:r>
    <w:r w:rsidRPr="0051026D">
      <w:rPr>
        <w:rFonts w:cs="Arial"/>
        <w:b/>
        <w:color w:val="984806"/>
        <w:sz w:val="16"/>
        <w:szCs w:val="16"/>
      </w:rPr>
      <w:t>)</w:t>
    </w:r>
  </w:p>
  <w:p w:rsidR="008F6D94" w:rsidRPr="00CE228C" w:rsidRDefault="008F6D94">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B41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4156AD"/>
    <w:multiLevelType w:val="hybridMultilevel"/>
    <w:tmpl w:val="0B68F594"/>
    <w:lvl w:ilvl="0" w:tplc="330242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6120AE"/>
    <w:multiLevelType w:val="hybridMultilevel"/>
    <w:tmpl w:val="22F0996E"/>
    <w:lvl w:ilvl="0" w:tplc="68D671B8">
      <w:start w:val="1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4B82B14"/>
    <w:multiLevelType w:val="multilevel"/>
    <w:tmpl w:val="D85A9E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39AE0778"/>
    <w:multiLevelType w:val="hybridMultilevel"/>
    <w:tmpl w:val="904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B0651"/>
    <w:multiLevelType w:val="hybridMultilevel"/>
    <w:tmpl w:val="DCB6C82A"/>
    <w:lvl w:ilvl="0" w:tplc="A0A4287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6302C64"/>
    <w:multiLevelType w:val="hybridMultilevel"/>
    <w:tmpl w:val="8638A2BC"/>
    <w:lvl w:ilvl="0" w:tplc="A768D6FC">
      <w:start w:val="1"/>
      <w:numFmt w:val="bullet"/>
      <w:lvlText w:val="•"/>
      <w:lvlJc w:val="left"/>
      <w:pPr>
        <w:tabs>
          <w:tab w:val="num" w:pos="720"/>
        </w:tabs>
        <w:ind w:left="720" w:hanging="360"/>
      </w:pPr>
      <w:rPr>
        <w:rFonts w:ascii="Times New Roman" w:hAnsi="Times New Roman"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F468F6"/>
    <w:multiLevelType w:val="hybridMultilevel"/>
    <w:tmpl w:val="C952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E34669"/>
    <w:multiLevelType w:val="hybridMultilevel"/>
    <w:tmpl w:val="FA3A398C"/>
    <w:lvl w:ilvl="0" w:tplc="9A647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9085D"/>
    <w:multiLevelType w:val="multilevel"/>
    <w:tmpl w:val="C54A5832"/>
    <w:lvl w:ilvl="0">
      <w:start w:val="1"/>
      <w:numFmt w:val="decimal"/>
      <w:pStyle w:val="Heading1"/>
      <w:lvlText w:val="%1"/>
      <w:lvlJc w:val="left"/>
      <w:pPr>
        <w:ind w:left="432" w:hanging="432"/>
      </w:pPr>
      <w:rPr>
        <w:rFonts w:hint="default"/>
        <w:color w:val="0000CC"/>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7"/>
  </w:num>
  <w:num w:numId="3">
    <w:abstractNumId w:val="8"/>
  </w:num>
  <w:num w:numId="4">
    <w:abstractNumId w:val="2"/>
  </w:num>
  <w:num w:numId="5">
    <w:abstractNumId w:val="1"/>
  </w:num>
  <w:num w:numId="6">
    <w:abstractNumId w:val="10"/>
  </w:num>
  <w:num w:numId="7">
    <w:abstractNumId w:val="6"/>
  </w:num>
  <w:num w:numId="8">
    <w:abstractNumId w:val="9"/>
  </w:num>
  <w:num w:numId="9">
    <w:abstractNumId w:val="5"/>
  </w:num>
  <w:num w:numId="10">
    <w:abstractNumId w:val="12"/>
  </w:num>
  <w:num w:numId="11">
    <w:abstractNumId w:val="13"/>
  </w:num>
  <w:num w:numId="12">
    <w:abstractNumId w:val="11"/>
  </w:num>
  <w:num w:numId="13">
    <w:abstractNumId w:val="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1986"/>
  </w:hdrShapeDefaults>
  <w:footnotePr>
    <w:footnote w:id="0"/>
    <w:footnote w:id="1"/>
  </w:footnotePr>
  <w:endnotePr>
    <w:endnote w:id="0"/>
    <w:endnote w:id="1"/>
  </w:endnotePr>
  <w:compat/>
  <w:rsids>
    <w:rsidRoot w:val="00AF3A59"/>
    <w:rsid w:val="00000B23"/>
    <w:rsid w:val="0000360D"/>
    <w:rsid w:val="000039B3"/>
    <w:rsid w:val="000050F8"/>
    <w:rsid w:val="000053AD"/>
    <w:rsid w:val="000120E6"/>
    <w:rsid w:val="000121BB"/>
    <w:rsid w:val="000126E3"/>
    <w:rsid w:val="00012B46"/>
    <w:rsid w:val="00012F33"/>
    <w:rsid w:val="0002373D"/>
    <w:rsid w:val="00025DA7"/>
    <w:rsid w:val="000260A3"/>
    <w:rsid w:val="0002691E"/>
    <w:rsid w:val="00026EB8"/>
    <w:rsid w:val="000275E3"/>
    <w:rsid w:val="00030A22"/>
    <w:rsid w:val="0003161A"/>
    <w:rsid w:val="00034F59"/>
    <w:rsid w:val="0003571B"/>
    <w:rsid w:val="00041D87"/>
    <w:rsid w:val="00042F57"/>
    <w:rsid w:val="00044A19"/>
    <w:rsid w:val="00060445"/>
    <w:rsid w:val="00063365"/>
    <w:rsid w:val="00065048"/>
    <w:rsid w:val="00070779"/>
    <w:rsid w:val="00071258"/>
    <w:rsid w:val="00071D5B"/>
    <w:rsid w:val="0007235B"/>
    <w:rsid w:val="0007260D"/>
    <w:rsid w:val="000726C6"/>
    <w:rsid w:val="00074DF4"/>
    <w:rsid w:val="000755E3"/>
    <w:rsid w:val="000771DE"/>
    <w:rsid w:val="00077B69"/>
    <w:rsid w:val="000825B1"/>
    <w:rsid w:val="000836A3"/>
    <w:rsid w:val="00084412"/>
    <w:rsid w:val="00085312"/>
    <w:rsid w:val="00086AB0"/>
    <w:rsid w:val="000932F1"/>
    <w:rsid w:val="00093A84"/>
    <w:rsid w:val="000959E0"/>
    <w:rsid w:val="00096BC5"/>
    <w:rsid w:val="00096EC5"/>
    <w:rsid w:val="000A13AA"/>
    <w:rsid w:val="000A2B13"/>
    <w:rsid w:val="000A2C22"/>
    <w:rsid w:val="000A5665"/>
    <w:rsid w:val="000A5AE0"/>
    <w:rsid w:val="000A666E"/>
    <w:rsid w:val="000A6D30"/>
    <w:rsid w:val="000B18BF"/>
    <w:rsid w:val="000B412F"/>
    <w:rsid w:val="000B4626"/>
    <w:rsid w:val="000B5EF7"/>
    <w:rsid w:val="000B71BD"/>
    <w:rsid w:val="000C11CB"/>
    <w:rsid w:val="000C4722"/>
    <w:rsid w:val="000C4D41"/>
    <w:rsid w:val="000C65F4"/>
    <w:rsid w:val="000C6760"/>
    <w:rsid w:val="000D13E6"/>
    <w:rsid w:val="000D1B27"/>
    <w:rsid w:val="000D2782"/>
    <w:rsid w:val="000D2D29"/>
    <w:rsid w:val="000D3CBF"/>
    <w:rsid w:val="000D6628"/>
    <w:rsid w:val="000D78C4"/>
    <w:rsid w:val="000E17D8"/>
    <w:rsid w:val="000E3187"/>
    <w:rsid w:val="000E3735"/>
    <w:rsid w:val="000E4C45"/>
    <w:rsid w:val="000E6497"/>
    <w:rsid w:val="000E68B3"/>
    <w:rsid w:val="000E751B"/>
    <w:rsid w:val="000E77BE"/>
    <w:rsid w:val="000F108C"/>
    <w:rsid w:val="000F54BE"/>
    <w:rsid w:val="000F7A56"/>
    <w:rsid w:val="000F7FFB"/>
    <w:rsid w:val="00104EC9"/>
    <w:rsid w:val="0010646D"/>
    <w:rsid w:val="00111C58"/>
    <w:rsid w:val="00112F1D"/>
    <w:rsid w:val="00115B2A"/>
    <w:rsid w:val="001175D3"/>
    <w:rsid w:val="00117674"/>
    <w:rsid w:val="00120032"/>
    <w:rsid w:val="00120811"/>
    <w:rsid w:val="00121405"/>
    <w:rsid w:val="001216F4"/>
    <w:rsid w:val="00121881"/>
    <w:rsid w:val="00123CD7"/>
    <w:rsid w:val="00123D04"/>
    <w:rsid w:val="00124F1C"/>
    <w:rsid w:val="0012676B"/>
    <w:rsid w:val="0013021F"/>
    <w:rsid w:val="001303B9"/>
    <w:rsid w:val="001316A7"/>
    <w:rsid w:val="00132351"/>
    <w:rsid w:val="00140604"/>
    <w:rsid w:val="00144BAB"/>
    <w:rsid w:val="0014611B"/>
    <w:rsid w:val="00152C77"/>
    <w:rsid w:val="00153773"/>
    <w:rsid w:val="00154DE6"/>
    <w:rsid w:val="00155BEC"/>
    <w:rsid w:val="001575FC"/>
    <w:rsid w:val="00157764"/>
    <w:rsid w:val="0016129B"/>
    <w:rsid w:val="001636A0"/>
    <w:rsid w:val="00164C66"/>
    <w:rsid w:val="00165238"/>
    <w:rsid w:val="001707BC"/>
    <w:rsid w:val="00187450"/>
    <w:rsid w:val="00190C25"/>
    <w:rsid w:val="0019208F"/>
    <w:rsid w:val="001947F0"/>
    <w:rsid w:val="00195B30"/>
    <w:rsid w:val="0019792E"/>
    <w:rsid w:val="001A02A2"/>
    <w:rsid w:val="001A0CE0"/>
    <w:rsid w:val="001A1293"/>
    <w:rsid w:val="001A457F"/>
    <w:rsid w:val="001C16E7"/>
    <w:rsid w:val="001C6CAF"/>
    <w:rsid w:val="001C7444"/>
    <w:rsid w:val="001D1A1E"/>
    <w:rsid w:val="001D260D"/>
    <w:rsid w:val="001D4A30"/>
    <w:rsid w:val="001D4DB7"/>
    <w:rsid w:val="001D6B9F"/>
    <w:rsid w:val="001E15DA"/>
    <w:rsid w:val="001E2959"/>
    <w:rsid w:val="001E2DD3"/>
    <w:rsid w:val="0020193A"/>
    <w:rsid w:val="00202908"/>
    <w:rsid w:val="00202D1D"/>
    <w:rsid w:val="00203266"/>
    <w:rsid w:val="0020447F"/>
    <w:rsid w:val="002044B0"/>
    <w:rsid w:val="002057C4"/>
    <w:rsid w:val="002069C3"/>
    <w:rsid w:val="00207672"/>
    <w:rsid w:val="00210968"/>
    <w:rsid w:val="002111AD"/>
    <w:rsid w:val="0022045D"/>
    <w:rsid w:val="00220FD0"/>
    <w:rsid w:val="00221866"/>
    <w:rsid w:val="00221B7D"/>
    <w:rsid w:val="00221FA0"/>
    <w:rsid w:val="00223343"/>
    <w:rsid w:val="00223912"/>
    <w:rsid w:val="00223CBD"/>
    <w:rsid w:val="00224F59"/>
    <w:rsid w:val="00225B19"/>
    <w:rsid w:val="0023235B"/>
    <w:rsid w:val="00232600"/>
    <w:rsid w:val="002335D7"/>
    <w:rsid w:val="002337B5"/>
    <w:rsid w:val="00235120"/>
    <w:rsid w:val="002368F6"/>
    <w:rsid w:val="002401AA"/>
    <w:rsid w:val="00240F89"/>
    <w:rsid w:val="0024208B"/>
    <w:rsid w:val="00243E5D"/>
    <w:rsid w:val="002442BC"/>
    <w:rsid w:val="00244E6E"/>
    <w:rsid w:val="0024599A"/>
    <w:rsid w:val="0025056B"/>
    <w:rsid w:val="002510A4"/>
    <w:rsid w:val="0025133B"/>
    <w:rsid w:val="00256898"/>
    <w:rsid w:val="002600A3"/>
    <w:rsid w:val="0026796E"/>
    <w:rsid w:val="002732C8"/>
    <w:rsid w:val="00273513"/>
    <w:rsid w:val="00275319"/>
    <w:rsid w:val="00276BB8"/>
    <w:rsid w:val="0028151C"/>
    <w:rsid w:val="00281827"/>
    <w:rsid w:val="00282945"/>
    <w:rsid w:val="002829C1"/>
    <w:rsid w:val="00282C04"/>
    <w:rsid w:val="00286D7D"/>
    <w:rsid w:val="00290440"/>
    <w:rsid w:val="002906C8"/>
    <w:rsid w:val="0029077F"/>
    <w:rsid w:val="00290F31"/>
    <w:rsid w:val="00292156"/>
    <w:rsid w:val="002953E6"/>
    <w:rsid w:val="00297740"/>
    <w:rsid w:val="00297FA3"/>
    <w:rsid w:val="002A095B"/>
    <w:rsid w:val="002A47F4"/>
    <w:rsid w:val="002A55E3"/>
    <w:rsid w:val="002A6CFC"/>
    <w:rsid w:val="002B033E"/>
    <w:rsid w:val="002B1BCA"/>
    <w:rsid w:val="002B472E"/>
    <w:rsid w:val="002B4945"/>
    <w:rsid w:val="002B569B"/>
    <w:rsid w:val="002C3737"/>
    <w:rsid w:val="002C3A30"/>
    <w:rsid w:val="002C3DAB"/>
    <w:rsid w:val="002C72F8"/>
    <w:rsid w:val="002D0787"/>
    <w:rsid w:val="002D2586"/>
    <w:rsid w:val="002D392B"/>
    <w:rsid w:val="002D3BC0"/>
    <w:rsid w:val="002D6413"/>
    <w:rsid w:val="002D672A"/>
    <w:rsid w:val="002E0306"/>
    <w:rsid w:val="002E422A"/>
    <w:rsid w:val="002E75ED"/>
    <w:rsid w:val="002F3661"/>
    <w:rsid w:val="002F5FAB"/>
    <w:rsid w:val="002F603E"/>
    <w:rsid w:val="002F6C2D"/>
    <w:rsid w:val="003013CF"/>
    <w:rsid w:val="003025D4"/>
    <w:rsid w:val="0030345C"/>
    <w:rsid w:val="00304B17"/>
    <w:rsid w:val="00307B88"/>
    <w:rsid w:val="00307F32"/>
    <w:rsid w:val="0031244B"/>
    <w:rsid w:val="003211BC"/>
    <w:rsid w:val="0032183A"/>
    <w:rsid w:val="0032215F"/>
    <w:rsid w:val="003372BE"/>
    <w:rsid w:val="00341228"/>
    <w:rsid w:val="00342144"/>
    <w:rsid w:val="003449AC"/>
    <w:rsid w:val="00346B48"/>
    <w:rsid w:val="0034770B"/>
    <w:rsid w:val="0035096A"/>
    <w:rsid w:val="00350F70"/>
    <w:rsid w:val="00351A24"/>
    <w:rsid w:val="003535BF"/>
    <w:rsid w:val="00355446"/>
    <w:rsid w:val="003613FE"/>
    <w:rsid w:val="003636F0"/>
    <w:rsid w:val="0036578A"/>
    <w:rsid w:val="0037065F"/>
    <w:rsid w:val="00375A47"/>
    <w:rsid w:val="00377CDC"/>
    <w:rsid w:val="003817D7"/>
    <w:rsid w:val="003825AA"/>
    <w:rsid w:val="00386EA2"/>
    <w:rsid w:val="0039000B"/>
    <w:rsid w:val="003906F4"/>
    <w:rsid w:val="003909D9"/>
    <w:rsid w:val="00390AC5"/>
    <w:rsid w:val="00390C74"/>
    <w:rsid w:val="00397657"/>
    <w:rsid w:val="003979D6"/>
    <w:rsid w:val="003A05B7"/>
    <w:rsid w:val="003A0719"/>
    <w:rsid w:val="003A097A"/>
    <w:rsid w:val="003A383E"/>
    <w:rsid w:val="003B2192"/>
    <w:rsid w:val="003B2AF3"/>
    <w:rsid w:val="003B5C40"/>
    <w:rsid w:val="003B5E56"/>
    <w:rsid w:val="003B7213"/>
    <w:rsid w:val="003B7BEF"/>
    <w:rsid w:val="003B7E35"/>
    <w:rsid w:val="003C0B1E"/>
    <w:rsid w:val="003C2AF4"/>
    <w:rsid w:val="003C3987"/>
    <w:rsid w:val="003C6DBB"/>
    <w:rsid w:val="003C6DE3"/>
    <w:rsid w:val="003C7F4A"/>
    <w:rsid w:val="003D199B"/>
    <w:rsid w:val="003D24CF"/>
    <w:rsid w:val="003D3831"/>
    <w:rsid w:val="003D4677"/>
    <w:rsid w:val="003E18DC"/>
    <w:rsid w:val="003E2E9E"/>
    <w:rsid w:val="003E4F0A"/>
    <w:rsid w:val="003E7C45"/>
    <w:rsid w:val="003F0B89"/>
    <w:rsid w:val="003F1FBD"/>
    <w:rsid w:val="003F45EB"/>
    <w:rsid w:val="004015E9"/>
    <w:rsid w:val="0040380C"/>
    <w:rsid w:val="00404060"/>
    <w:rsid w:val="004062C3"/>
    <w:rsid w:val="00406706"/>
    <w:rsid w:val="0040708A"/>
    <w:rsid w:val="004075EA"/>
    <w:rsid w:val="004148CC"/>
    <w:rsid w:val="00415790"/>
    <w:rsid w:val="00416CCB"/>
    <w:rsid w:val="00417422"/>
    <w:rsid w:val="00420468"/>
    <w:rsid w:val="004271B6"/>
    <w:rsid w:val="00427491"/>
    <w:rsid w:val="00430456"/>
    <w:rsid w:val="00436970"/>
    <w:rsid w:val="004376C5"/>
    <w:rsid w:val="004401B5"/>
    <w:rsid w:val="00440FF3"/>
    <w:rsid w:val="00441051"/>
    <w:rsid w:val="00441C70"/>
    <w:rsid w:val="00444330"/>
    <w:rsid w:val="004519F3"/>
    <w:rsid w:val="0045292E"/>
    <w:rsid w:val="00452945"/>
    <w:rsid w:val="00452D86"/>
    <w:rsid w:val="004546C7"/>
    <w:rsid w:val="00456303"/>
    <w:rsid w:val="004626BC"/>
    <w:rsid w:val="00465C3A"/>
    <w:rsid w:val="004663F9"/>
    <w:rsid w:val="00476A01"/>
    <w:rsid w:val="00476BA5"/>
    <w:rsid w:val="004805EF"/>
    <w:rsid w:val="0048088B"/>
    <w:rsid w:val="00481A50"/>
    <w:rsid w:val="00481FE5"/>
    <w:rsid w:val="00482362"/>
    <w:rsid w:val="00482DBB"/>
    <w:rsid w:val="00484FFD"/>
    <w:rsid w:val="0048501F"/>
    <w:rsid w:val="004904FA"/>
    <w:rsid w:val="00491405"/>
    <w:rsid w:val="004918A1"/>
    <w:rsid w:val="00495256"/>
    <w:rsid w:val="004A060A"/>
    <w:rsid w:val="004A1642"/>
    <w:rsid w:val="004A1AC5"/>
    <w:rsid w:val="004A2963"/>
    <w:rsid w:val="004A2B62"/>
    <w:rsid w:val="004A3B83"/>
    <w:rsid w:val="004A485E"/>
    <w:rsid w:val="004A746F"/>
    <w:rsid w:val="004B1DBC"/>
    <w:rsid w:val="004B3171"/>
    <w:rsid w:val="004B4CAF"/>
    <w:rsid w:val="004B7506"/>
    <w:rsid w:val="004C0F5C"/>
    <w:rsid w:val="004C24E7"/>
    <w:rsid w:val="004C2731"/>
    <w:rsid w:val="004C31CF"/>
    <w:rsid w:val="004C3A68"/>
    <w:rsid w:val="004C5C6B"/>
    <w:rsid w:val="004C5CBA"/>
    <w:rsid w:val="004C5FBA"/>
    <w:rsid w:val="004C7309"/>
    <w:rsid w:val="004D61E6"/>
    <w:rsid w:val="004D7F83"/>
    <w:rsid w:val="004E07A7"/>
    <w:rsid w:val="004E10AF"/>
    <w:rsid w:val="004E1D91"/>
    <w:rsid w:val="004E2A52"/>
    <w:rsid w:val="004E4691"/>
    <w:rsid w:val="004E67BA"/>
    <w:rsid w:val="004E6A27"/>
    <w:rsid w:val="004F6A1C"/>
    <w:rsid w:val="00502330"/>
    <w:rsid w:val="005045F8"/>
    <w:rsid w:val="005063D8"/>
    <w:rsid w:val="00506A6C"/>
    <w:rsid w:val="00507017"/>
    <w:rsid w:val="005074E6"/>
    <w:rsid w:val="00507C94"/>
    <w:rsid w:val="0051026D"/>
    <w:rsid w:val="005108C0"/>
    <w:rsid w:val="0052011D"/>
    <w:rsid w:val="005211AB"/>
    <w:rsid w:val="00521297"/>
    <w:rsid w:val="00523058"/>
    <w:rsid w:val="00523F1B"/>
    <w:rsid w:val="005241A3"/>
    <w:rsid w:val="0052622D"/>
    <w:rsid w:val="005277AD"/>
    <w:rsid w:val="005278C1"/>
    <w:rsid w:val="00527FCD"/>
    <w:rsid w:val="005306E9"/>
    <w:rsid w:val="005308D2"/>
    <w:rsid w:val="00530D69"/>
    <w:rsid w:val="005310A1"/>
    <w:rsid w:val="00531D9A"/>
    <w:rsid w:val="005357A0"/>
    <w:rsid w:val="005358DD"/>
    <w:rsid w:val="005378A5"/>
    <w:rsid w:val="005421C6"/>
    <w:rsid w:val="005421E7"/>
    <w:rsid w:val="005430B8"/>
    <w:rsid w:val="005451F1"/>
    <w:rsid w:val="00545FCC"/>
    <w:rsid w:val="005463EC"/>
    <w:rsid w:val="00550B18"/>
    <w:rsid w:val="0055148F"/>
    <w:rsid w:val="00551D97"/>
    <w:rsid w:val="005546FB"/>
    <w:rsid w:val="00554E26"/>
    <w:rsid w:val="00563865"/>
    <w:rsid w:val="00563AD0"/>
    <w:rsid w:val="00564625"/>
    <w:rsid w:val="00567EEB"/>
    <w:rsid w:val="00571784"/>
    <w:rsid w:val="00573957"/>
    <w:rsid w:val="005740EF"/>
    <w:rsid w:val="0057753C"/>
    <w:rsid w:val="00581B5E"/>
    <w:rsid w:val="00581DDD"/>
    <w:rsid w:val="00583636"/>
    <w:rsid w:val="00585AA7"/>
    <w:rsid w:val="005864ED"/>
    <w:rsid w:val="00590FF1"/>
    <w:rsid w:val="00593B20"/>
    <w:rsid w:val="005953D6"/>
    <w:rsid w:val="00595613"/>
    <w:rsid w:val="005A0805"/>
    <w:rsid w:val="005A0E22"/>
    <w:rsid w:val="005A21DF"/>
    <w:rsid w:val="005A306D"/>
    <w:rsid w:val="005A5356"/>
    <w:rsid w:val="005A5D0C"/>
    <w:rsid w:val="005A697F"/>
    <w:rsid w:val="005A75C3"/>
    <w:rsid w:val="005A7D23"/>
    <w:rsid w:val="005B2EC0"/>
    <w:rsid w:val="005B582D"/>
    <w:rsid w:val="005C193D"/>
    <w:rsid w:val="005C2FB1"/>
    <w:rsid w:val="005C6713"/>
    <w:rsid w:val="005D3650"/>
    <w:rsid w:val="005D60B3"/>
    <w:rsid w:val="005E2A29"/>
    <w:rsid w:val="005E575E"/>
    <w:rsid w:val="005E7D8E"/>
    <w:rsid w:val="005F5FAB"/>
    <w:rsid w:val="00601B82"/>
    <w:rsid w:val="00604D17"/>
    <w:rsid w:val="00604F89"/>
    <w:rsid w:val="00605241"/>
    <w:rsid w:val="006057D0"/>
    <w:rsid w:val="00605FEC"/>
    <w:rsid w:val="00607511"/>
    <w:rsid w:val="00611511"/>
    <w:rsid w:val="00611BA9"/>
    <w:rsid w:val="006157D1"/>
    <w:rsid w:val="0061598D"/>
    <w:rsid w:val="00621D2B"/>
    <w:rsid w:val="00622AF2"/>
    <w:rsid w:val="006238F4"/>
    <w:rsid w:val="00627502"/>
    <w:rsid w:val="006275AD"/>
    <w:rsid w:val="006303A6"/>
    <w:rsid w:val="00632130"/>
    <w:rsid w:val="00633173"/>
    <w:rsid w:val="006423D4"/>
    <w:rsid w:val="00642C1B"/>
    <w:rsid w:val="00643C0B"/>
    <w:rsid w:val="00643DED"/>
    <w:rsid w:val="00644E24"/>
    <w:rsid w:val="00646669"/>
    <w:rsid w:val="0065721F"/>
    <w:rsid w:val="006631E7"/>
    <w:rsid w:val="00667A1C"/>
    <w:rsid w:val="00667C6A"/>
    <w:rsid w:val="00670DD3"/>
    <w:rsid w:val="00671558"/>
    <w:rsid w:val="006728D1"/>
    <w:rsid w:val="00675BF7"/>
    <w:rsid w:val="00680142"/>
    <w:rsid w:val="00680393"/>
    <w:rsid w:val="0068168F"/>
    <w:rsid w:val="0068253C"/>
    <w:rsid w:val="00682E33"/>
    <w:rsid w:val="006870B7"/>
    <w:rsid w:val="0069041A"/>
    <w:rsid w:val="0069341E"/>
    <w:rsid w:val="006934BC"/>
    <w:rsid w:val="0069645A"/>
    <w:rsid w:val="006A125C"/>
    <w:rsid w:val="006A20FF"/>
    <w:rsid w:val="006A3C45"/>
    <w:rsid w:val="006A66E1"/>
    <w:rsid w:val="006A6FD0"/>
    <w:rsid w:val="006A7002"/>
    <w:rsid w:val="006B08FF"/>
    <w:rsid w:val="006B153D"/>
    <w:rsid w:val="006B215D"/>
    <w:rsid w:val="006B2419"/>
    <w:rsid w:val="006B3881"/>
    <w:rsid w:val="006B4EF0"/>
    <w:rsid w:val="006B541C"/>
    <w:rsid w:val="006B5F41"/>
    <w:rsid w:val="006B7611"/>
    <w:rsid w:val="006C0B8B"/>
    <w:rsid w:val="006C16C6"/>
    <w:rsid w:val="006C217D"/>
    <w:rsid w:val="006C26CD"/>
    <w:rsid w:val="006C2CE5"/>
    <w:rsid w:val="006C3055"/>
    <w:rsid w:val="006C4131"/>
    <w:rsid w:val="006C7F51"/>
    <w:rsid w:val="006D0634"/>
    <w:rsid w:val="006D6C90"/>
    <w:rsid w:val="006D722D"/>
    <w:rsid w:val="006E1018"/>
    <w:rsid w:val="006E1403"/>
    <w:rsid w:val="006E2DEB"/>
    <w:rsid w:val="006E4135"/>
    <w:rsid w:val="006E4992"/>
    <w:rsid w:val="006E5114"/>
    <w:rsid w:val="006E69AA"/>
    <w:rsid w:val="006E6E62"/>
    <w:rsid w:val="006E7078"/>
    <w:rsid w:val="006F11FA"/>
    <w:rsid w:val="006F158E"/>
    <w:rsid w:val="006F5D71"/>
    <w:rsid w:val="006F5E51"/>
    <w:rsid w:val="006F6259"/>
    <w:rsid w:val="00704474"/>
    <w:rsid w:val="00704D4C"/>
    <w:rsid w:val="00710856"/>
    <w:rsid w:val="00711406"/>
    <w:rsid w:val="007121EB"/>
    <w:rsid w:val="007124AF"/>
    <w:rsid w:val="00714921"/>
    <w:rsid w:val="007178DC"/>
    <w:rsid w:val="007201D1"/>
    <w:rsid w:val="007207D9"/>
    <w:rsid w:val="00721053"/>
    <w:rsid w:val="0072133E"/>
    <w:rsid w:val="007215C3"/>
    <w:rsid w:val="00721B08"/>
    <w:rsid w:val="0072216C"/>
    <w:rsid w:val="00722256"/>
    <w:rsid w:val="007229EB"/>
    <w:rsid w:val="00723314"/>
    <w:rsid w:val="0072477F"/>
    <w:rsid w:val="00724A9F"/>
    <w:rsid w:val="007259A2"/>
    <w:rsid w:val="00726C2A"/>
    <w:rsid w:val="00730A29"/>
    <w:rsid w:val="007315F9"/>
    <w:rsid w:val="007321DE"/>
    <w:rsid w:val="00733E0B"/>
    <w:rsid w:val="007341F8"/>
    <w:rsid w:val="00734472"/>
    <w:rsid w:val="00736C5B"/>
    <w:rsid w:val="00736D95"/>
    <w:rsid w:val="00740BBA"/>
    <w:rsid w:val="007458D0"/>
    <w:rsid w:val="00745C38"/>
    <w:rsid w:val="0075118A"/>
    <w:rsid w:val="00755648"/>
    <w:rsid w:val="00756C6E"/>
    <w:rsid w:val="0075745A"/>
    <w:rsid w:val="00757D8D"/>
    <w:rsid w:val="0076054E"/>
    <w:rsid w:val="007617F3"/>
    <w:rsid w:val="00763045"/>
    <w:rsid w:val="00763BB6"/>
    <w:rsid w:val="00771D20"/>
    <w:rsid w:val="0077371C"/>
    <w:rsid w:val="00775D04"/>
    <w:rsid w:val="00776039"/>
    <w:rsid w:val="00781D73"/>
    <w:rsid w:val="00785A3D"/>
    <w:rsid w:val="00785FAF"/>
    <w:rsid w:val="00787FA5"/>
    <w:rsid w:val="00790973"/>
    <w:rsid w:val="00792CD5"/>
    <w:rsid w:val="00792D58"/>
    <w:rsid w:val="00794EFD"/>
    <w:rsid w:val="007A354D"/>
    <w:rsid w:val="007A78F0"/>
    <w:rsid w:val="007A7C45"/>
    <w:rsid w:val="007B0383"/>
    <w:rsid w:val="007B0C11"/>
    <w:rsid w:val="007B17E0"/>
    <w:rsid w:val="007B2214"/>
    <w:rsid w:val="007B2C6C"/>
    <w:rsid w:val="007B4944"/>
    <w:rsid w:val="007B6239"/>
    <w:rsid w:val="007B7DA8"/>
    <w:rsid w:val="007C036D"/>
    <w:rsid w:val="007C410B"/>
    <w:rsid w:val="007C6CDF"/>
    <w:rsid w:val="007D30F3"/>
    <w:rsid w:val="007D3B9C"/>
    <w:rsid w:val="007D743F"/>
    <w:rsid w:val="007D78ED"/>
    <w:rsid w:val="007E197D"/>
    <w:rsid w:val="007E1986"/>
    <w:rsid w:val="007E287C"/>
    <w:rsid w:val="007F075C"/>
    <w:rsid w:val="007F0D47"/>
    <w:rsid w:val="007F3A79"/>
    <w:rsid w:val="007F6DD3"/>
    <w:rsid w:val="00800459"/>
    <w:rsid w:val="008044CB"/>
    <w:rsid w:val="008044FC"/>
    <w:rsid w:val="0080589F"/>
    <w:rsid w:val="00805EBD"/>
    <w:rsid w:val="008062B2"/>
    <w:rsid w:val="00806669"/>
    <w:rsid w:val="00806B95"/>
    <w:rsid w:val="008125F5"/>
    <w:rsid w:val="00814CEC"/>
    <w:rsid w:val="00814D29"/>
    <w:rsid w:val="008150E2"/>
    <w:rsid w:val="008172E8"/>
    <w:rsid w:val="00817620"/>
    <w:rsid w:val="00817FDF"/>
    <w:rsid w:val="00825520"/>
    <w:rsid w:val="00827E38"/>
    <w:rsid w:val="00834792"/>
    <w:rsid w:val="00834D42"/>
    <w:rsid w:val="00837589"/>
    <w:rsid w:val="008375B5"/>
    <w:rsid w:val="00837F35"/>
    <w:rsid w:val="00842007"/>
    <w:rsid w:val="00842233"/>
    <w:rsid w:val="00843394"/>
    <w:rsid w:val="0084710E"/>
    <w:rsid w:val="00856918"/>
    <w:rsid w:val="00856B09"/>
    <w:rsid w:val="008621D7"/>
    <w:rsid w:val="00864C83"/>
    <w:rsid w:val="008657A4"/>
    <w:rsid w:val="0086746D"/>
    <w:rsid w:val="00867951"/>
    <w:rsid w:val="00870534"/>
    <w:rsid w:val="008726C7"/>
    <w:rsid w:val="008805F3"/>
    <w:rsid w:val="008807B6"/>
    <w:rsid w:val="008809F4"/>
    <w:rsid w:val="00880E13"/>
    <w:rsid w:val="00881232"/>
    <w:rsid w:val="008820D6"/>
    <w:rsid w:val="00883835"/>
    <w:rsid w:val="00884012"/>
    <w:rsid w:val="0089208C"/>
    <w:rsid w:val="00895609"/>
    <w:rsid w:val="00897CCB"/>
    <w:rsid w:val="008A0E72"/>
    <w:rsid w:val="008A23B9"/>
    <w:rsid w:val="008A3023"/>
    <w:rsid w:val="008A70A8"/>
    <w:rsid w:val="008B05C4"/>
    <w:rsid w:val="008B4137"/>
    <w:rsid w:val="008B427C"/>
    <w:rsid w:val="008B5023"/>
    <w:rsid w:val="008B574F"/>
    <w:rsid w:val="008C0381"/>
    <w:rsid w:val="008C291F"/>
    <w:rsid w:val="008C3293"/>
    <w:rsid w:val="008C78FD"/>
    <w:rsid w:val="008D0925"/>
    <w:rsid w:val="008D1923"/>
    <w:rsid w:val="008D3118"/>
    <w:rsid w:val="008D4B60"/>
    <w:rsid w:val="008E00E3"/>
    <w:rsid w:val="008E4447"/>
    <w:rsid w:val="008E5B27"/>
    <w:rsid w:val="008E6D98"/>
    <w:rsid w:val="008E76AC"/>
    <w:rsid w:val="008E7F39"/>
    <w:rsid w:val="008F3CA5"/>
    <w:rsid w:val="008F3D17"/>
    <w:rsid w:val="008F6D94"/>
    <w:rsid w:val="00907D26"/>
    <w:rsid w:val="00910DA9"/>
    <w:rsid w:val="009217E9"/>
    <w:rsid w:val="00921E18"/>
    <w:rsid w:val="00923462"/>
    <w:rsid w:val="00923801"/>
    <w:rsid w:val="009279BB"/>
    <w:rsid w:val="009310EB"/>
    <w:rsid w:val="00931750"/>
    <w:rsid w:val="00931ACD"/>
    <w:rsid w:val="00931D36"/>
    <w:rsid w:val="00931E5E"/>
    <w:rsid w:val="00937322"/>
    <w:rsid w:val="00941965"/>
    <w:rsid w:val="00942090"/>
    <w:rsid w:val="0094276D"/>
    <w:rsid w:val="00950267"/>
    <w:rsid w:val="00951147"/>
    <w:rsid w:val="009526EB"/>
    <w:rsid w:val="0095278F"/>
    <w:rsid w:val="00963756"/>
    <w:rsid w:val="00967AF4"/>
    <w:rsid w:val="00973421"/>
    <w:rsid w:val="00981BA3"/>
    <w:rsid w:val="00984CB9"/>
    <w:rsid w:val="00987A4D"/>
    <w:rsid w:val="00990DF6"/>
    <w:rsid w:val="0099418A"/>
    <w:rsid w:val="00994375"/>
    <w:rsid w:val="00996F6B"/>
    <w:rsid w:val="0099767A"/>
    <w:rsid w:val="009A0082"/>
    <w:rsid w:val="009A09A2"/>
    <w:rsid w:val="009A13F8"/>
    <w:rsid w:val="009A14D6"/>
    <w:rsid w:val="009A2FC5"/>
    <w:rsid w:val="009A3DB8"/>
    <w:rsid w:val="009B1EED"/>
    <w:rsid w:val="009B29B4"/>
    <w:rsid w:val="009B300E"/>
    <w:rsid w:val="009B7D2E"/>
    <w:rsid w:val="009C1E5D"/>
    <w:rsid w:val="009C3390"/>
    <w:rsid w:val="009D0974"/>
    <w:rsid w:val="009D0EA7"/>
    <w:rsid w:val="009E471B"/>
    <w:rsid w:val="009E498A"/>
    <w:rsid w:val="009E6087"/>
    <w:rsid w:val="009E6108"/>
    <w:rsid w:val="009E6885"/>
    <w:rsid w:val="009F17A0"/>
    <w:rsid w:val="009F2998"/>
    <w:rsid w:val="009F4202"/>
    <w:rsid w:val="009F4871"/>
    <w:rsid w:val="009F60C6"/>
    <w:rsid w:val="009F6620"/>
    <w:rsid w:val="009F79C6"/>
    <w:rsid w:val="00A00387"/>
    <w:rsid w:val="00A021DA"/>
    <w:rsid w:val="00A0484B"/>
    <w:rsid w:val="00A0557C"/>
    <w:rsid w:val="00A10701"/>
    <w:rsid w:val="00A15D51"/>
    <w:rsid w:val="00A16966"/>
    <w:rsid w:val="00A17D3D"/>
    <w:rsid w:val="00A22734"/>
    <w:rsid w:val="00A2298A"/>
    <w:rsid w:val="00A24B6C"/>
    <w:rsid w:val="00A3031B"/>
    <w:rsid w:val="00A30852"/>
    <w:rsid w:val="00A34C84"/>
    <w:rsid w:val="00A34E2F"/>
    <w:rsid w:val="00A35220"/>
    <w:rsid w:val="00A409C7"/>
    <w:rsid w:val="00A43909"/>
    <w:rsid w:val="00A46A8E"/>
    <w:rsid w:val="00A52B13"/>
    <w:rsid w:val="00A53845"/>
    <w:rsid w:val="00A53893"/>
    <w:rsid w:val="00A53F89"/>
    <w:rsid w:val="00A54424"/>
    <w:rsid w:val="00A54924"/>
    <w:rsid w:val="00A54A5D"/>
    <w:rsid w:val="00A54D64"/>
    <w:rsid w:val="00A54F7B"/>
    <w:rsid w:val="00A559CF"/>
    <w:rsid w:val="00A56480"/>
    <w:rsid w:val="00A569AF"/>
    <w:rsid w:val="00A575D9"/>
    <w:rsid w:val="00A6140C"/>
    <w:rsid w:val="00A62AAB"/>
    <w:rsid w:val="00A63D5E"/>
    <w:rsid w:val="00A70334"/>
    <w:rsid w:val="00A706A7"/>
    <w:rsid w:val="00A72066"/>
    <w:rsid w:val="00A739AA"/>
    <w:rsid w:val="00A773E5"/>
    <w:rsid w:val="00A7776B"/>
    <w:rsid w:val="00A80A74"/>
    <w:rsid w:val="00A81E08"/>
    <w:rsid w:val="00A9306E"/>
    <w:rsid w:val="00A93262"/>
    <w:rsid w:val="00A96D71"/>
    <w:rsid w:val="00A970F7"/>
    <w:rsid w:val="00AA02DF"/>
    <w:rsid w:val="00AA1837"/>
    <w:rsid w:val="00AA1D2F"/>
    <w:rsid w:val="00AA2B9A"/>
    <w:rsid w:val="00AB03CC"/>
    <w:rsid w:val="00AB0B00"/>
    <w:rsid w:val="00AB22CE"/>
    <w:rsid w:val="00AB24DD"/>
    <w:rsid w:val="00AB6F5A"/>
    <w:rsid w:val="00AC181C"/>
    <w:rsid w:val="00AC2412"/>
    <w:rsid w:val="00AC334D"/>
    <w:rsid w:val="00AC424C"/>
    <w:rsid w:val="00AC428B"/>
    <w:rsid w:val="00AC6173"/>
    <w:rsid w:val="00AC7B4A"/>
    <w:rsid w:val="00AD05F0"/>
    <w:rsid w:val="00AD1593"/>
    <w:rsid w:val="00AD70F1"/>
    <w:rsid w:val="00AE26BF"/>
    <w:rsid w:val="00AF26F0"/>
    <w:rsid w:val="00AF3060"/>
    <w:rsid w:val="00AF386F"/>
    <w:rsid w:val="00AF3A59"/>
    <w:rsid w:val="00AF5EE2"/>
    <w:rsid w:val="00AF6227"/>
    <w:rsid w:val="00AF763F"/>
    <w:rsid w:val="00B0141A"/>
    <w:rsid w:val="00B02B23"/>
    <w:rsid w:val="00B064E6"/>
    <w:rsid w:val="00B06C95"/>
    <w:rsid w:val="00B104F7"/>
    <w:rsid w:val="00B10658"/>
    <w:rsid w:val="00B12BAE"/>
    <w:rsid w:val="00B130C7"/>
    <w:rsid w:val="00B14EDC"/>
    <w:rsid w:val="00B1616D"/>
    <w:rsid w:val="00B16356"/>
    <w:rsid w:val="00B20A35"/>
    <w:rsid w:val="00B21355"/>
    <w:rsid w:val="00B218CE"/>
    <w:rsid w:val="00B26566"/>
    <w:rsid w:val="00B32557"/>
    <w:rsid w:val="00B350BF"/>
    <w:rsid w:val="00B360A1"/>
    <w:rsid w:val="00B3722C"/>
    <w:rsid w:val="00B4572A"/>
    <w:rsid w:val="00B45D0A"/>
    <w:rsid w:val="00B460C1"/>
    <w:rsid w:val="00B46BF9"/>
    <w:rsid w:val="00B47AE4"/>
    <w:rsid w:val="00B47DA5"/>
    <w:rsid w:val="00B54794"/>
    <w:rsid w:val="00B577DA"/>
    <w:rsid w:val="00B62A59"/>
    <w:rsid w:val="00B7112C"/>
    <w:rsid w:val="00B73838"/>
    <w:rsid w:val="00B74795"/>
    <w:rsid w:val="00B74D37"/>
    <w:rsid w:val="00B80C48"/>
    <w:rsid w:val="00B817A7"/>
    <w:rsid w:val="00B83468"/>
    <w:rsid w:val="00B83ABA"/>
    <w:rsid w:val="00B86FFB"/>
    <w:rsid w:val="00B90E11"/>
    <w:rsid w:val="00B919EC"/>
    <w:rsid w:val="00B927A3"/>
    <w:rsid w:val="00B94303"/>
    <w:rsid w:val="00B95EC8"/>
    <w:rsid w:val="00B972F6"/>
    <w:rsid w:val="00BA0723"/>
    <w:rsid w:val="00BA0974"/>
    <w:rsid w:val="00BA1DC7"/>
    <w:rsid w:val="00BA4E29"/>
    <w:rsid w:val="00BB4058"/>
    <w:rsid w:val="00BB69E1"/>
    <w:rsid w:val="00BB7929"/>
    <w:rsid w:val="00BC1C2A"/>
    <w:rsid w:val="00BC58CC"/>
    <w:rsid w:val="00BC5DFB"/>
    <w:rsid w:val="00BD1187"/>
    <w:rsid w:val="00BD18FA"/>
    <w:rsid w:val="00BD3382"/>
    <w:rsid w:val="00BD789E"/>
    <w:rsid w:val="00BE0DAA"/>
    <w:rsid w:val="00BE4005"/>
    <w:rsid w:val="00BE434C"/>
    <w:rsid w:val="00BE466A"/>
    <w:rsid w:val="00BF4904"/>
    <w:rsid w:val="00BF6B8B"/>
    <w:rsid w:val="00BF6CD3"/>
    <w:rsid w:val="00C00288"/>
    <w:rsid w:val="00C0119B"/>
    <w:rsid w:val="00C04961"/>
    <w:rsid w:val="00C05AF2"/>
    <w:rsid w:val="00C0708C"/>
    <w:rsid w:val="00C11E88"/>
    <w:rsid w:val="00C14C1B"/>
    <w:rsid w:val="00C15156"/>
    <w:rsid w:val="00C22C42"/>
    <w:rsid w:val="00C23101"/>
    <w:rsid w:val="00C23D82"/>
    <w:rsid w:val="00C30719"/>
    <w:rsid w:val="00C30D3A"/>
    <w:rsid w:val="00C34E66"/>
    <w:rsid w:val="00C36EA4"/>
    <w:rsid w:val="00C373F4"/>
    <w:rsid w:val="00C404D0"/>
    <w:rsid w:val="00C41DFC"/>
    <w:rsid w:val="00C42655"/>
    <w:rsid w:val="00C42853"/>
    <w:rsid w:val="00C43296"/>
    <w:rsid w:val="00C4385C"/>
    <w:rsid w:val="00C46AC9"/>
    <w:rsid w:val="00C46B08"/>
    <w:rsid w:val="00C47FA4"/>
    <w:rsid w:val="00C52F13"/>
    <w:rsid w:val="00C5656B"/>
    <w:rsid w:val="00C57479"/>
    <w:rsid w:val="00C66D3E"/>
    <w:rsid w:val="00C703BD"/>
    <w:rsid w:val="00C70AAA"/>
    <w:rsid w:val="00C72772"/>
    <w:rsid w:val="00C76881"/>
    <w:rsid w:val="00C76A3D"/>
    <w:rsid w:val="00C8022B"/>
    <w:rsid w:val="00C81A33"/>
    <w:rsid w:val="00C83FE4"/>
    <w:rsid w:val="00C846B3"/>
    <w:rsid w:val="00C8636D"/>
    <w:rsid w:val="00C86ABE"/>
    <w:rsid w:val="00C90445"/>
    <w:rsid w:val="00C93E2C"/>
    <w:rsid w:val="00C94275"/>
    <w:rsid w:val="00C97F0A"/>
    <w:rsid w:val="00CA081C"/>
    <w:rsid w:val="00CA154D"/>
    <w:rsid w:val="00CA1D79"/>
    <w:rsid w:val="00CA3D7D"/>
    <w:rsid w:val="00CA574D"/>
    <w:rsid w:val="00CA5EF3"/>
    <w:rsid w:val="00CA6E5A"/>
    <w:rsid w:val="00CB0168"/>
    <w:rsid w:val="00CB13A1"/>
    <w:rsid w:val="00CB192E"/>
    <w:rsid w:val="00CB2618"/>
    <w:rsid w:val="00CB6930"/>
    <w:rsid w:val="00CB7548"/>
    <w:rsid w:val="00CB7DBB"/>
    <w:rsid w:val="00CC20B8"/>
    <w:rsid w:val="00CC2146"/>
    <w:rsid w:val="00CC2645"/>
    <w:rsid w:val="00CC2D90"/>
    <w:rsid w:val="00CC3FBA"/>
    <w:rsid w:val="00CC4029"/>
    <w:rsid w:val="00CC54D9"/>
    <w:rsid w:val="00CC5B47"/>
    <w:rsid w:val="00CC79CD"/>
    <w:rsid w:val="00CD08D8"/>
    <w:rsid w:val="00CD2D35"/>
    <w:rsid w:val="00CD3FDE"/>
    <w:rsid w:val="00CD4D29"/>
    <w:rsid w:val="00CD6486"/>
    <w:rsid w:val="00CD7F4D"/>
    <w:rsid w:val="00CE228C"/>
    <w:rsid w:val="00CE33F7"/>
    <w:rsid w:val="00CF0B85"/>
    <w:rsid w:val="00CF0F67"/>
    <w:rsid w:val="00CF14A5"/>
    <w:rsid w:val="00CF1BA3"/>
    <w:rsid w:val="00CF2829"/>
    <w:rsid w:val="00CF70CD"/>
    <w:rsid w:val="00D01EFD"/>
    <w:rsid w:val="00D046D8"/>
    <w:rsid w:val="00D112FB"/>
    <w:rsid w:val="00D13393"/>
    <w:rsid w:val="00D14605"/>
    <w:rsid w:val="00D15A3A"/>
    <w:rsid w:val="00D20462"/>
    <w:rsid w:val="00D25A17"/>
    <w:rsid w:val="00D3257F"/>
    <w:rsid w:val="00D37F39"/>
    <w:rsid w:val="00D41CE2"/>
    <w:rsid w:val="00D43178"/>
    <w:rsid w:val="00D44FB8"/>
    <w:rsid w:val="00D45D56"/>
    <w:rsid w:val="00D50329"/>
    <w:rsid w:val="00D50922"/>
    <w:rsid w:val="00D52C79"/>
    <w:rsid w:val="00D54DA5"/>
    <w:rsid w:val="00D55BC4"/>
    <w:rsid w:val="00D60AED"/>
    <w:rsid w:val="00D6155A"/>
    <w:rsid w:val="00D61EA3"/>
    <w:rsid w:val="00D620AF"/>
    <w:rsid w:val="00D63471"/>
    <w:rsid w:val="00D64E5F"/>
    <w:rsid w:val="00D67BB5"/>
    <w:rsid w:val="00D70414"/>
    <w:rsid w:val="00D73DAE"/>
    <w:rsid w:val="00D77885"/>
    <w:rsid w:val="00D80D1A"/>
    <w:rsid w:val="00D86F0B"/>
    <w:rsid w:val="00DA0254"/>
    <w:rsid w:val="00DA09B3"/>
    <w:rsid w:val="00DA4541"/>
    <w:rsid w:val="00DA6396"/>
    <w:rsid w:val="00DA6A0B"/>
    <w:rsid w:val="00DB19D4"/>
    <w:rsid w:val="00DB77A4"/>
    <w:rsid w:val="00DC12B8"/>
    <w:rsid w:val="00DC474D"/>
    <w:rsid w:val="00DD109A"/>
    <w:rsid w:val="00DD3A44"/>
    <w:rsid w:val="00DD573C"/>
    <w:rsid w:val="00DD61B1"/>
    <w:rsid w:val="00DD6704"/>
    <w:rsid w:val="00DE0258"/>
    <w:rsid w:val="00DE0CF8"/>
    <w:rsid w:val="00DE12F7"/>
    <w:rsid w:val="00DE1BE0"/>
    <w:rsid w:val="00DE2254"/>
    <w:rsid w:val="00DE381B"/>
    <w:rsid w:val="00DE69DC"/>
    <w:rsid w:val="00DF005C"/>
    <w:rsid w:val="00DF1A03"/>
    <w:rsid w:val="00DF312C"/>
    <w:rsid w:val="00DF51D1"/>
    <w:rsid w:val="00DF6B8E"/>
    <w:rsid w:val="00DF7631"/>
    <w:rsid w:val="00E015E6"/>
    <w:rsid w:val="00E04826"/>
    <w:rsid w:val="00E05A68"/>
    <w:rsid w:val="00E11629"/>
    <w:rsid w:val="00E150B0"/>
    <w:rsid w:val="00E20050"/>
    <w:rsid w:val="00E2081D"/>
    <w:rsid w:val="00E20F33"/>
    <w:rsid w:val="00E24068"/>
    <w:rsid w:val="00E262AD"/>
    <w:rsid w:val="00E26565"/>
    <w:rsid w:val="00E30C36"/>
    <w:rsid w:val="00E313F6"/>
    <w:rsid w:val="00E360B2"/>
    <w:rsid w:val="00E3659C"/>
    <w:rsid w:val="00E37BC7"/>
    <w:rsid w:val="00E37DB9"/>
    <w:rsid w:val="00E43CA3"/>
    <w:rsid w:val="00E4776D"/>
    <w:rsid w:val="00E51765"/>
    <w:rsid w:val="00E51AC1"/>
    <w:rsid w:val="00E56C5F"/>
    <w:rsid w:val="00E574B2"/>
    <w:rsid w:val="00E57F5E"/>
    <w:rsid w:val="00E611FC"/>
    <w:rsid w:val="00E64579"/>
    <w:rsid w:val="00E659E0"/>
    <w:rsid w:val="00E65CAA"/>
    <w:rsid w:val="00E67EC1"/>
    <w:rsid w:val="00E729FB"/>
    <w:rsid w:val="00E733FD"/>
    <w:rsid w:val="00E734A0"/>
    <w:rsid w:val="00E76B77"/>
    <w:rsid w:val="00E775EE"/>
    <w:rsid w:val="00E80F5A"/>
    <w:rsid w:val="00E83059"/>
    <w:rsid w:val="00E84C72"/>
    <w:rsid w:val="00E872DE"/>
    <w:rsid w:val="00E922C5"/>
    <w:rsid w:val="00E92729"/>
    <w:rsid w:val="00E92EC4"/>
    <w:rsid w:val="00E94A74"/>
    <w:rsid w:val="00E95414"/>
    <w:rsid w:val="00E95F29"/>
    <w:rsid w:val="00E97318"/>
    <w:rsid w:val="00EA38F0"/>
    <w:rsid w:val="00EA539E"/>
    <w:rsid w:val="00EB2AB9"/>
    <w:rsid w:val="00EB31BD"/>
    <w:rsid w:val="00EB4BF8"/>
    <w:rsid w:val="00EB5670"/>
    <w:rsid w:val="00EB56B4"/>
    <w:rsid w:val="00EB6A49"/>
    <w:rsid w:val="00EC06F8"/>
    <w:rsid w:val="00EC217F"/>
    <w:rsid w:val="00EC424A"/>
    <w:rsid w:val="00EC55A1"/>
    <w:rsid w:val="00ED04F9"/>
    <w:rsid w:val="00ED1651"/>
    <w:rsid w:val="00ED3F36"/>
    <w:rsid w:val="00ED4446"/>
    <w:rsid w:val="00ED4D46"/>
    <w:rsid w:val="00ED4F8F"/>
    <w:rsid w:val="00ED5503"/>
    <w:rsid w:val="00ED6426"/>
    <w:rsid w:val="00ED6B10"/>
    <w:rsid w:val="00ED6E5C"/>
    <w:rsid w:val="00EE1EDF"/>
    <w:rsid w:val="00EE2B6B"/>
    <w:rsid w:val="00EE64C3"/>
    <w:rsid w:val="00EE6AF0"/>
    <w:rsid w:val="00EF5FF0"/>
    <w:rsid w:val="00EF6BDC"/>
    <w:rsid w:val="00F00A52"/>
    <w:rsid w:val="00F041D0"/>
    <w:rsid w:val="00F0568A"/>
    <w:rsid w:val="00F0600D"/>
    <w:rsid w:val="00F0653A"/>
    <w:rsid w:val="00F159CA"/>
    <w:rsid w:val="00F15F85"/>
    <w:rsid w:val="00F17FDD"/>
    <w:rsid w:val="00F22471"/>
    <w:rsid w:val="00F22747"/>
    <w:rsid w:val="00F22E39"/>
    <w:rsid w:val="00F30654"/>
    <w:rsid w:val="00F320D6"/>
    <w:rsid w:val="00F33F81"/>
    <w:rsid w:val="00F341BE"/>
    <w:rsid w:val="00F36106"/>
    <w:rsid w:val="00F4225E"/>
    <w:rsid w:val="00F44837"/>
    <w:rsid w:val="00F45B5C"/>
    <w:rsid w:val="00F4673F"/>
    <w:rsid w:val="00F537B7"/>
    <w:rsid w:val="00F569DA"/>
    <w:rsid w:val="00F56F0E"/>
    <w:rsid w:val="00F573BD"/>
    <w:rsid w:val="00F60A85"/>
    <w:rsid w:val="00F6337B"/>
    <w:rsid w:val="00F7037D"/>
    <w:rsid w:val="00F70A78"/>
    <w:rsid w:val="00F72DE9"/>
    <w:rsid w:val="00F72DF3"/>
    <w:rsid w:val="00F75920"/>
    <w:rsid w:val="00F76150"/>
    <w:rsid w:val="00F812B5"/>
    <w:rsid w:val="00F839A9"/>
    <w:rsid w:val="00F857AB"/>
    <w:rsid w:val="00F873DC"/>
    <w:rsid w:val="00F90341"/>
    <w:rsid w:val="00F91865"/>
    <w:rsid w:val="00F91C16"/>
    <w:rsid w:val="00F934D0"/>
    <w:rsid w:val="00F97289"/>
    <w:rsid w:val="00FA10A3"/>
    <w:rsid w:val="00FA1619"/>
    <w:rsid w:val="00FB36F6"/>
    <w:rsid w:val="00FB5C45"/>
    <w:rsid w:val="00FB7E04"/>
    <w:rsid w:val="00FC2C78"/>
    <w:rsid w:val="00FC571D"/>
    <w:rsid w:val="00FC61D3"/>
    <w:rsid w:val="00FC64B8"/>
    <w:rsid w:val="00FC7074"/>
    <w:rsid w:val="00FD4C94"/>
    <w:rsid w:val="00FD543D"/>
    <w:rsid w:val="00FE3757"/>
    <w:rsid w:val="00FE3C85"/>
    <w:rsid w:val="00FE617B"/>
    <w:rsid w:val="00FE7B1F"/>
    <w:rsid w:val="00FF4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90"/>
    <w:rPr>
      <w:rFonts w:ascii="Arial" w:hAnsi="Arial"/>
      <w:sz w:val="24"/>
      <w:szCs w:val="24"/>
      <w:lang w:val="en-US" w:eastAsia="en-US"/>
    </w:rPr>
  </w:style>
  <w:style w:type="paragraph" w:styleId="Heading1">
    <w:name w:val="heading 1"/>
    <w:basedOn w:val="Normal"/>
    <w:next w:val="Normal"/>
    <w:link w:val="Heading1Char"/>
    <w:uiPriority w:val="9"/>
    <w:qFormat/>
    <w:rsid w:val="00282C04"/>
    <w:pPr>
      <w:keepNext/>
      <w:numPr>
        <w:numId w:val="11"/>
      </w:numPr>
      <w:spacing w:before="240" w:after="60"/>
      <w:jc w:val="center"/>
      <w:outlineLvl w:val="0"/>
    </w:pPr>
    <w:rPr>
      <w:b/>
      <w:bCs/>
      <w:kern w:val="32"/>
      <w:sz w:val="32"/>
      <w:szCs w:val="32"/>
    </w:rPr>
  </w:style>
  <w:style w:type="paragraph" w:styleId="Heading2">
    <w:name w:val="heading 2"/>
    <w:aliases w:val="Opodo H2"/>
    <w:basedOn w:val="Normal"/>
    <w:next w:val="Normal"/>
    <w:link w:val="Heading2Char"/>
    <w:uiPriority w:val="9"/>
    <w:qFormat/>
    <w:rsid w:val="000D78C4"/>
    <w:pPr>
      <w:keepNext/>
      <w:numPr>
        <w:ilvl w:val="1"/>
        <w:numId w:val="11"/>
      </w:numPr>
      <w:jc w:val="both"/>
      <w:outlineLvl w:val="1"/>
    </w:pPr>
    <w:rPr>
      <w:b/>
      <w:noProof/>
      <w:color w:val="0000CC"/>
      <w:szCs w:val="20"/>
      <w:lang w:val="en-ZW"/>
    </w:rPr>
  </w:style>
  <w:style w:type="paragraph" w:styleId="Heading3">
    <w:name w:val="heading 3"/>
    <w:basedOn w:val="Normal"/>
    <w:next w:val="Normal"/>
    <w:link w:val="Heading3Char"/>
    <w:uiPriority w:val="9"/>
    <w:unhideWhenUsed/>
    <w:qFormat/>
    <w:rsid w:val="008044CB"/>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044CB"/>
    <w:pPr>
      <w:keepNext/>
      <w:keepLines/>
      <w:numPr>
        <w:ilvl w:val="3"/>
        <w:numId w:val="11"/>
      </w:numPr>
      <w:spacing w:before="200" w:line="276" w:lineRule="auto"/>
      <w:outlineLvl w:val="3"/>
    </w:pPr>
    <w:rPr>
      <w:rFonts w:ascii="Cambria" w:hAnsi="Cambria"/>
      <w:b/>
      <w:bCs/>
      <w:i/>
      <w:iCs/>
      <w:color w:val="4F81BD"/>
      <w:sz w:val="22"/>
      <w:szCs w:val="22"/>
      <w:lang w:val="en-ZA"/>
    </w:rPr>
  </w:style>
  <w:style w:type="paragraph" w:styleId="Heading5">
    <w:name w:val="heading 5"/>
    <w:basedOn w:val="Normal"/>
    <w:next w:val="Normal"/>
    <w:link w:val="Heading5Char"/>
    <w:uiPriority w:val="9"/>
    <w:unhideWhenUsed/>
    <w:qFormat/>
    <w:rsid w:val="008044CB"/>
    <w:pPr>
      <w:keepNext/>
      <w:keepLines/>
      <w:numPr>
        <w:ilvl w:val="4"/>
        <w:numId w:val="11"/>
      </w:numPr>
      <w:spacing w:before="200" w:line="276" w:lineRule="auto"/>
      <w:outlineLvl w:val="4"/>
    </w:pPr>
    <w:rPr>
      <w:rFonts w:ascii="Cambria" w:hAnsi="Cambria"/>
      <w:color w:val="243F60"/>
      <w:sz w:val="22"/>
      <w:szCs w:val="22"/>
      <w:lang w:val="en-ZA"/>
    </w:rPr>
  </w:style>
  <w:style w:type="paragraph" w:styleId="Heading6">
    <w:name w:val="heading 6"/>
    <w:basedOn w:val="Normal"/>
    <w:next w:val="Normal"/>
    <w:link w:val="Heading6Char"/>
    <w:uiPriority w:val="9"/>
    <w:semiHidden/>
    <w:unhideWhenUsed/>
    <w:qFormat/>
    <w:rsid w:val="008044CB"/>
    <w:pPr>
      <w:keepNext/>
      <w:keepLines/>
      <w:numPr>
        <w:ilvl w:val="5"/>
        <w:numId w:val="11"/>
      </w:numPr>
      <w:spacing w:before="200" w:line="276" w:lineRule="auto"/>
      <w:outlineLvl w:val="5"/>
    </w:pPr>
    <w:rPr>
      <w:rFonts w:ascii="Cambria" w:hAnsi="Cambria"/>
      <w:i/>
      <w:iCs/>
      <w:color w:val="243F60"/>
      <w:sz w:val="22"/>
      <w:szCs w:val="22"/>
      <w:lang w:val="en-ZA"/>
    </w:rPr>
  </w:style>
  <w:style w:type="paragraph" w:styleId="Heading7">
    <w:name w:val="heading 7"/>
    <w:basedOn w:val="Normal"/>
    <w:next w:val="Normal"/>
    <w:link w:val="Heading7Char"/>
    <w:uiPriority w:val="9"/>
    <w:semiHidden/>
    <w:unhideWhenUsed/>
    <w:qFormat/>
    <w:rsid w:val="008044CB"/>
    <w:pPr>
      <w:keepNext/>
      <w:keepLines/>
      <w:numPr>
        <w:ilvl w:val="6"/>
        <w:numId w:val="11"/>
      </w:numPr>
      <w:spacing w:before="200" w:line="276" w:lineRule="auto"/>
      <w:outlineLvl w:val="6"/>
    </w:pPr>
    <w:rPr>
      <w:rFonts w:ascii="Cambria" w:hAnsi="Cambria"/>
      <w:i/>
      <w:iCs/>
      <w:color w:val="404040"/>
      <w:sz w:val="22"/>
      <w:szCs w:val="22"/>
      <w:lang w:val="en-ZA"/>
    </w:rPr>
  </w:style>
  <w:style w:type="paragraph" w:styleId="Heading8">
    <w:name w:val="heading 8"/>
    <w:basedOn w:val="Normal"/>
    <w:next w:val="Normal"/>
    <w:link w:val="Heading8Char"/>
    <w:uiPriority w:val="9"/>
    <w:semiHidden/>
    <w:unhideWhenUsed/>
    <w:qFormat/>
    <w:rsid w:val="008044CB"/>
    <w:pPr>
      <w:keepNext/>
      <w:keepLines/>
      <w:numPr>
        <w:ilvl w:val="7"/>
        <w:numId w:val="11"/>
      </w:numPr>
      <w:spacing w:before="200" w:line="276" w:lineRule="auto"/>
      <w:outlineLvl w:val="7"/>
    </w:pPr>
    <w:rPr>
      <w:rFonts w:ascii="Cambria" w:hAnsi="Cambria"/>
      <w:color w:val="404040"/>
      <w:sz w:val="20"/>
      <w:szCs w:val="20"/>
      <w:lang w:val="en-ZA"/>
    </w:rPr>
  </w:style>
  <w:style w:type="paragraph" w:styleId="Heading9">
    <w:name w:val="heading 9"/>
    <w:basedOn w:val="Normal"/>
    <w:next w:val="Normal"/>
    <w:link w:val="Heading9Char"/>
    <w:uiPriority w:val="9"/>
    <w:semiHidden/>
    <w:unhideWhenUsed/>
    <w:qFormat/>
    <w:rsid w:val="008044CB"/>
    <w:pPr>
      <w:keepNext/>
      <w:keepLines/>
      <w:numPr>
        <w:ilvl w:val="8"/>
        <w:numId w:val="11"/>
      </w:numPr>
      <w:spacing w:before="200" w:line="276" w:lineRule="auto"/>
      <w:outlineLvl w:val="8"/>
    </w:pPr>
    <w:rPr>
      <w:rFonts w:ascii="Cambria" w:hAnsi="Cambria"/>
      <w:i/>
      <w:iCs/>
      <w:color w:val="404040"/>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F3A59"/>
    <w:pPr>
      <w:shd w:val="clear" w:color="auto" w:fill="000080"/>
    </w:pPr>
    <w:rPr>
      <w:rFonts w:ascii="Tahoma" w:hAnsi="Tahoma" w:cs="Tahoma"/>
      <w:sz w:val="20"/>
      <w:szCs w:val="20"/>
    </w:rPr>
  </w:style>
  <w:style w:type="paragraph" w:customStyle="1" w:styleId="CharCharCharCharCharCharCharCharCharChar">
    <w:name w:val="Char Char Char Char Char Char Char Char Char Char"/>
    <w:basedOn w:val="Normal"/>
    <w:rsid w:val="00ED4F8F"/>
    <w:pPr>
      <w:spacing w:after="160" w:line="240" w:lineRule="exact"/>
    </w:pPr>
    <w:rPr>
      <w:bCs/>
      <w:sz w:val="22"/>
    </w:rPr>
  </w:style>
  <w:style w:type="paragraph" w:styleId="BodyTextIndent3">
    <w:name w:val="Body Text Indent 3"/>
    <w:basedOn w:val="Normal"/>
    <w:link w:val="BodyTextIndent3Char"/>
    <w:semiHidden/>
    <w:rsid w:val="00CA081C"/>
    <w:pPr>
      <w:ind w:left="142"/>
    </w:pPr>
    <w:rPr>
      <w:rFonts w:ascii="Times New Roman" w:hAnsi="Times New Roman"/>
      <w:sz w:val="20"/>
      <w:szCs w:val="20"/>
      <w:lang w:val="en-GB"/>
    </w:rPr>
  </w:style>
  <w:style w:type="character" w:customStyle="1" w:styleId="BodyTextIndent3Char">
    <w:name w:val="Body Text Indent 3 Char"/>
    <w:basedOn w:val="DefaultParagraphFont"/>
    <w:link w:val="BodyTextIndent3"/>
    <w:semiHidden/>
    <w:rsid w:val="00CA081C"/>
    <w:rPr>
      <w:lang w:val="en-GB" w:eastAsia="en-US" w:bidi="ar-SA"/>
    </w:rPr>
  </w:style>
  <w:style w:type="paragraph" w:styleId="ListParagraph">
    <w:name w:val="List Paragraph"/>
    <w:basedOn w:val="Normal"/>
    <w:uiPriority w:val="34"/>
    <w:qFormat/>
    <w:rsid w:val="00CA081C"/>
    <w:pPr>
      <w:spacing w:after="200" w:line="276" w:lineRule="auto"/>
      <w:ind w:left="720"/>
    </w:pPr>
    <w:rPr>
      <w:rFonts w:ascii="Calibri" w:eastAsia="Calibri" w:hAnsi="Calibri"/>
      <w:sz w:val="22"/>
      <w:szCs w:val="22"/>
    </w:rPr>
  </w:style>
  <w:style w:type="paragraph" w:styleId="Footer">
    <w:name w:val="footer"/>
    <w:basedOn w:val="Normal"/>
    <w:link w:val="FooterChar"/>
    <w:uiPriority w:val="99"/>
    <w:rsid w:val="00FE7B1F"/>
    <w:pPr>
      <w:tabs>
        <w:tab w:val="center" w:pos="4153"/>
        <w:tab w:val="right" w:pos="8306"/>
      </w:tabs>
    </w:pPr>
  </w:style>
  <w:style w:type="character" w:styleId="PageNumber">
    <w:name w:val="page number"/>
    <w:basedOn w:val="DefaultParagraphFont"/>
    <w:uiPriority w:val="99"/>
    <w:rsid w:val="00FE7B1F"/>
  </w:style>
  <w:style w:type="paragraph" w:styleId="BalloonText">
    <w:name w:val="Balloon Text"/>
    <w:basedOn w:val="Normal"/>
    <w:link w:val="BalloonTextChar"/>
    <w:uiPriority w:val="99"/>
    <w:semiHidden/>
    <w:rsid w:val="00FE7B1F"/>
    <w:rPr>
      <w:rFonts w:ascii="Tahoma" w:hAnsi="Tahoma" w:cs="Tahoma"/>
      <w:sz w:val="16"/>
      <w:szCs w:val="16"/>
    </w:rPr>
  </w:style>
  <w:style w:type="paragraph" w:styleId="Header">
    <w:name w:val="header"/>
    <w:basedOn w:val="Normal"/>
    <w:link w:val="HeaderChar"/>
    <w:uiPriority w:val="99"/>
    <w:rsid w:val="00787FA5"/>
    <w:pPr>
      <w:tabs>
        <w:tab w:val="center" w:pos="4153"/>
        <w:tab w:val="right" w:pos="8306"/>
      </w:tabs>
    </w:pPr>
  </w:style>
  <w:style w:type="paragraph" w:customStyle="1" w:styleId="ColorfulList-Accent11">
    <w:name w:val="Colorful List - Accent 11"/>
    <w:basedOn w:val="Normal"/>
    <w:qFormat/>
    <w:rsid w:val="006B3881"/>
    <w:pPr>
      <w:spacing w:after="200" w:line="276" w:lineRule="auto"/>
      <w:ind w:left="720"/>
      <w:contextualSpacing/>
    </w:pPr>
    <w:rPr>
      <w:rFonts w:eastAsia="Calibri"/>
      <w:szCs w:val="22"/>
      <w:lang w:val="en-ZA"/>
    </w:rPr>
  </w:style>
  <w:style w:type="paragraph" w:customStyle="1" w:styleId="ColorfulList-Accent13">
    <w:name w:val="Colorful List - Accent 13"/>
    <w:basedOn w:val="Normal"/>
    <w:qFormat/>
    <w:rsid w:val="00030A22"/>
    <w:pPr>
      <w:spacing w:line="360" w:lineRule="auto"/>
      <w:ind w:left="720"/>
      <w:jc w:val="both"/>
    </w:pPr>
    <w:rPr>
      <w:rFonts w:ascii="Tahoma" w:hAnsi="Tahoma"/>
      <w:sz w:val="20"/>
      <w:szCs w:val="22"/>
    </w:rPr>
  </w:style>
  <w:style w:type="table" w:styleId="TableGrid">
    <w:name w:val="Table Grid"/>
    <w:basedOn w:val="TableNormal"/>
    <w:rsid w:val="00507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22AF2"/>
    <w:rPr>
      <w:sz w:val="16"/>
      <w:szCs w:val="16"/>
    </w:rPr>
  </w:style>
  <w:style w:type="paragraph" w:styleId="CommentText">
    <w:name w:val="annotation text"/>
    <w:basedOn w:val="Normal"/>
    <w:link w:val="CommentTextChar"/>
    <w:uiPriority w:val="99"/>
    <w:rsid w:val="00622AF2"/>
    <w:rPr>
      <w:sz w:val="20"/>
      <w:szCs w:val="20"/>
    </w:rPr>
  </w:style>
  <w:style w:type="character" w:customStyle="1" w:styleId="CommentTextChar">
    <w:name w:val="Comment Text Char"/>
    <w:basedOn w:val="DefaultParagraphFont"/>
    <w:link w:val="CommentText"/>
    <w:uiPriority w:val="99"/>
    <w:rsid w:val="00622AF2"/>
    <w:rPr>
      <w:rFonts w:ascii="Arial" w:hAnsi="Arial"/>
    </w:rPr>
  </w:style>
  <w:style w:type="paragraph" w:styleId="CommentSubject">
    <w:name w:val="annotation subject"/>
    <w:basedOn w:val="CommentText"/>
    <w:next w:val="CommentText"/>
    <w:link w:val="CommentSubjectChar"/>
    <w:uiPriority w:val="99"/>
    <w:rsid w:val="00622AF2"/>
    <w:rPr>
      <w:b/>
      <w:bCs/>
    </w:rPr>
  </w:style>
  <w:style w:type="character" w:customStyle="1" w:styleId="CommentSubjectChar">
    <w:name w:val="Comment Subject Char"/>
    <w:basedOn w:val="CommentTextChar"/>
    <w:link w:val="CommentSubject"/>
    <w:uiPriority w:val="99"/>
    <w:rsid w:val="00622AF2"/>
    <w:rPr>
      <w:rFonts w:ascii="Arial" w:hAnsi="Arial"/>
      <w:b/>
      <w:bCs/>
    </w:rPr>
  </w:style>
  <w:style w:type="paragraph" w:styleId="Revision">
    <w:name w:val="Revision"/>
    <w:hidden/>
    <w:uiPriority w:val="99"/>
    <w:semiHidden/>
    <w:rsid w:val="00622AF2"/>
    <w:rPr>
      <w:rFonts w:ascii="Arial" w:hAnsi="Arial"/>
      <w:sz w:val="24"/>
      <w:szCs w:val="24"/>
      <w:lang w:val="en-US" w:eastAsia="en-US"/>
    </w:rPr>
  </w:style>
  <w:style w:type="paragraph" w:styleId="TOC1">
    <w:name w:val="toc 1"/>
    <w:basedOn w:val="Normal"/>
    <w:next w:val="Normal"/>
    <w:link w:val="TOC1Char"/>
    <w:autoRedefine/>
    <w:uiPriority w:val="39"/>
    <w:qFormat/>
    <w:rsid w:val="000D78C4"/>
    <w:rPr>
      <w:color w:val="000000"/>
      <w:sz w:val="22"/>
    </w:rPr>
  </w:style>
  <w:style w:type="character" w:styleId="Hyperlink">
    <w:name w:val="Hyperlink"/>
    <w:basedOn w:val="DefaultParagraphFont"/>
    <w:uiPriority w:val="99"/>
    <w:unhideWhenUsed/>
    <w:rsid w:val="006C2CE5"/>
    <w:rPr>
      <w:color w:val="0000FF"/>
      <w:u w:val="single"/>
    </w:rPr>
  </w:style>
  <w:style w:type="character" w:customStyle="1" w:styleId="Heading1Char">
    <w:name w:val="Heading 1 Char"/>
    <w:basedOn w:val="DefaultParagraphFont"/>
    <w:link w:val="Heading1"/>
    <w:uiPriority w:val="9"/>
    <w:rsid w:val="00282C04"/>
    <w:rPr>
      <w:rFonts w:ascii="Arial" w:hAnsi="Arial"/>
      <w:b/>
      <w:bCs/>
      <w:kern w:val="32"/>
      <w:sz w:val="32"/>
      <w:szCs w:val="32"/>
      <w:lang w:val="en-US" w:eastAsia="en-US"/>
    </w:rPr>
  </w:style>
  <w:style w:type="paragraph" w:styleId="TOCHeading">
    <w:name w:val="TOC Heading"/>
    <w:basedOn w:val="Heading1"/>
    <w:next w:val="Normal"/>
    <w:uiPriority w:val="39"/>
    <w:unhideWhenUsed/>
    <w:qFormat/>
    <w:rsid w:val="006C2CE5"/>
    <w:pPr>
      <w:keepLines/>
      <w:spacing w:before="480" w:after="0" w:line="276" w:lineRule="auto"/>
      <w:outlineLvl w:val="9"/>
    </w:pPr>
    <w:rPr>
      <w:color w:val="365F91"/>
      <w:kern w:val="0"/>
      <w:sz w:val="28"/>
      <w:szCs w:val="28"/>
    </w:rPr>
  </w:style>
  <w:style w:type="character" w:customStyle="1" w:styleId="HeaderChar">
    <w:name w:val="Header Char"/>
    <w:basedOn w:val="DefaultParagraphFont"/>
    <w:link w:val="Header"/>
    <w:uiPriority w:val="99"/>
    <w:rsid w:val="00CE228C"/>
    <w:rPr>
      <w:rFonts w:ascii="Arial" w:hAnsi="Arial"/>
      <w:sz w:val="24"/>
      <w:szCs w:val="24"/>
      <w:lang w:val="en-US" w:eastAsia="en-US"/>
    </w:rPr>
  </w:style>
  <w:style w:type="character" w:customStyle="1" w:styleId="Heading3Char">
    <w:name w:val="Heading 3 Char"/>
    <w:basedOn w:val="DefaultParagraphFont"/>
    <w:link w:val="Heading3"/>
    <w:uiPriority w:val="9"/>
    <w:rsid w:val="008044CB"/>
    <w:rPr>
      <w:rFonts w:ascii="Cambria" w:hAnsi="Cambria"/>
      <w:b/>
      <w:bCs/>
      <w:sz w:val="26"/>
      <w:szCs w:val="26"/>
      <w:lang w:val="en-US" w:eastAsia="en-US"/>
    </w:rPr>
  </w:style>
  <w:style w:type="character" w:customStyle="1" w:styleId="Heading4Char">
    <w:name w:val="Heading 4 Char"/>
    <w:basedOn w:val="DefaultParagraphFont"/>
    <w:link w:val="Heading4"/>
    <w:uiPriority w:val="9"/>
    <w:rsid w:val="008044CB"/>
    <w:rPr>
      <w:rFonts w:ascii="Cambria" w:hAnsi="Cambria"/>
      <w:b/>
      <w:bCs/>
      <w:i/>
      <w:iCs/>
      <w:color w:val="4F81BD"/>
      <w:sz w:val="22"/>
      <w:szCs w:val="22"/>
      <w:lang w:eastAsia="en-US"/>
    </w:rPr>
  </w:style>
  <w:style w:type="character" w:customStyle="1" w:styleId="Heading5Char">
    <w:name w:val="Heading 5 Char"/>
    <w:basedOn w:val="DefaultParagraphFont"/>
    <w:link w:val="Heading5"/>
    <w:uiPriority w:val="9"/>
    <w:rsid w:val="008044CB"/>
    <w:rPr>
      <w:rFonts w:ascii="Cambria" w:hAnsi="Cambria"/>
      <w:color w:val="243F60"/>
      <w:sz w:val="22"/>
      <w:szCs w:val="22"/>
      <w:lang w:eastAsia="en-US"/>
    </w:rPr>
  </w:style>
  <w:style w:type="character" w:customStyle="1" w:styleId="Heading6Char">
    <w:name w:val="Heading 6 Char"/>
    <w:basedOn w:val="DefaultParagraphFont"/>
    <w:link w:val="Heading6"/>
    <w:uiPriority w:val="9"/>
    <w:semiHidden/>
    <w:rsid w:val="008044CB"/>
    <w:rPr>
      <w:rFonts w:ascii="Cambria" w:hAnsi="Cambria"/>
      <w:i/>
      <w:iCs/>
      <w:color w:val="243F60"/>
      <w:sz w:val="22"/>
      <w:szCs w:val="22"/>
      <w:lang w:eastAsia="en-US"/>
    </w:rPr>
  </w:style>
  <w:style w:type="character" w:customStyle="1" w:styleId="Heading7Char">
    <w:name w:val="Heading 7 Char"/>
    <w:basedOn w:val="DefaultParagraphFont"/>
    <w:link w:val="Heading7"/>
    <w:uiPriority w:val="9"/>
    <w:semiHidden/>
    <w:rsid w:val="008044CB"/>
    <w:rPr>
      <w:rFonts w:ascii="Cambria" w:hAnsi="Cambria"/>
      <w:i/>
      <w:iCs/>
      <w:color w:val="404040"/>
      <w:sz w:val="22"/>
      <w:szCs w:val="22"/>
      <w:lang w:eastAsia="en-US"/>
    </w:rPr>
  </w:style>
  <w:style w:type="character" w:customStyle="1" w:styleId="Heading8Char">
    <w:name w:val="Heading 8 Char"/>
    <w:basedOn w:val="DefaultParagraphFont"/>
    <w:link w:val="Heading8"/>
    <w:uiPriority w:val="9"/>
    <w:semiHidden/>
    <w:rsid w:val="008044CB"/>
    <w:rPr>
      <w:rFonts w:ascii="Cambria" w:hAnsi="Cambria"/>
      <w:color w:val="404040"/>
      <w:lang w:eastAsia="en-US"/>
    </w:rPr>
  </w:style>
  <w:style w:type="character" w:customStyle="1" w:styleId="Heading9Char">
    <w:name w:val="Heading 9 Char"/>
    <w:basedOn w:val="DefaultParagraphFont"/>
    <w:link w:val="Heading9"/>
    <w:uiPriority w:val="9"/>
    <w:semiHidden/>
    <w:rsid w:val="008044CB"/>
    <w:rPr>
      <w:rFonts w:ascii="Cambria" w:hAnsi="Cambria"/>
      <w:i/>
      <w:iCs/>
      <w:color w:val="404040"/>
      <w:lang w:eastAsia="en-US"/>
    </w:rPr>
  </w:style>
  <w:style w:type="character" w:customStyle="1" w:styleId="Heading2Char">
    <w:name w:val="Heading 2 Char"/>
    <w:aliases w:val="Opodo H2 Char"/>
    <w:basedOn w:val="DefaultParagraphFont"/>
    <w:link w:val="Heading2"/>
    <w:uiPriority w:val="9"/>
    <w:rsid w:val="000D78C4"/>
    <w:rPr>
      <w:rFonts w:ascii="Arial" w:hAnsi="Arial"/>
      <w:b/>
      <w:noProof/>
      <w:color w:val="0000CC"/>
      <w:sz w:val="24"/>
      <w:lang w:val="en-ZW" w:eastAsia="en-US"/>
    </w:rPr>
  </w:style>
  <w:style w:type="paragraph" w:customStyle="1" w:styleId="Arial">
    <w:name w:val="Arial"/>
    <w:basedOn w:val="Normal"/>
    <w:uiPriority w:val="99"/>
    <w:rsid w:val="008044CB"/>
    <w:pPr>
      <w:jc w:val="both"/>
    </w:pPr>
    <w:rPr>
      <w:rFonts w:ascii="Times New Roman" w:hAnsi="Times New Roman"/>
      <w:lang w:val="en-GB"/>
    </w:rPr>
  </w:style>
  <w:style w:type="paragraph" w:styleId="TOC2">
    <w:name w:val="toc 2"/>
    <w:basedOn w:val="Normal"/>
    <w:next w:val="Normal"/>
    <w:autoRedefine/>
    <w:uiPriority w:val="39"/>
    <w:unhideWhenUsed/>
    <w:qFormat/>
    <w:rsid w:val="008044CB"/>
    <w:pPr>
      <w:spacing w:line="276" w:lineRule="auto"/>
      <w:ind w:left="220"/>
    </w:pPr>
    <w:rPr>
      <w:rFonts w:ascii="Calibri" w:eastAsia="Calibri" w:hAnsi="Calibri"/>
      <w:smallCaps/>
      <w:sz w:val="20"/>
      <w:szCs w:val="20"/>
      <w:lang w:val="en-ZA"/>
    </w:rPr>
  </w:style>
  <w:style w:type="character" w:customStyle="1" w:styleId="BalloonTextChar">
    <w:name w:val="Balloon Text Char"/>
    <w:basedOn w:val="DefaultParagraphFont"/>
    <w:link w:val="BalloonText"/>
    <w:uiPriority w:val="99"/>
    <w:semiHidden/>
    <w:rsid w:val="008044CB"/>
    <w:rPr>
      <w:rFonts w:ascii="Tahoma" w:hAnsi="Tahoma" w:cs="Tahoma"/>
      <w:sz w:val="16"/>
      <w:szCs w:val="16"/>
      <w:lang w:val="en-US" w:eastAsia="en-US"/>
    </w:rPr>
  </w:style>
  <w:style w:type="paragraph" w:customStyle="1" w:styleId="Paragraph">
    <w:name w:val="Paragraph"/>
    <w:basedOn w:val="Normal"/>
    <w:rsid w:val="008044CB"/>
    <w:pPr>
      <w:tabs>
        <w:tab w:val="left" w:pos="284"/>
        <w:tab w:val="left" w:pos="567"/>
        <w:tab w:val="left" w:pos="851"/>
      </w:tabs>
      <w:spacing w:after="160" w:line="260" w:lineRule="atLeast"/>
      <w:jc w:val="both"/>
    </w:pPr>
    <w:rPr>
      <w:rFonts w:ascii="Times New Roman" w:hAnsi="Times New Roman"/>
      <w:sz w:val="22"/>
      <w:szCs w:val="20"/>
      <w:lang w:val="en-GB"/>
    </w:rPr>
  </w:style>
  <w:style w:type="paragraph" w:customStyle="1" w:styleId="FinalBullet">
    <w:name w:val="Final Bullet"/>
    <w:basedOn w:val="ListBullet"/>
    <w:rsid w:val="008044CB"/>
    <w:pPr>
      <w:tabs>
        <w:tab w:val="left" w:pos="357"/>
      </w:tabs>
      <w:spacing w:after="160"/>
    </w:pPr>
    <w:rPr>
      <w:szCs w:val="20"/>
      <w:lang w:val="en-GB"/>
    </w:rPr>
  </w:style>
  <w:style w:type="paragraph" w:styleId="ListBullet">
    <w:name w:val="List Bullet"/>
    <w:basedOn w:val="Normal"/>
    <w:autoRedefine/>
    <w:rsid w:val="008044CB"/>
    <w:pPr>
      <w:ind w:left="720" w:hanging="720"/>
      <w:jc w:val="both"/>
    </w:pPr>
    <w:rPr>
      <w:rFonts w:ascii="Times New Roman" w:hAnsi="Times New Roman"/>
      <w:sz w:val="22"/>
      <w:lang w:val="en-ZA"/>
    </w:rPr>
  </w:style>
  <w:style w:type="paragraph" w:styleId="BodyTextIndent">
    <w:name w:val="Body Text Indent"/>
    <w:basedOn w:val="Normal"/>
    <w:link w:val="BodyTextIndentChar"/>
    <w:rsid w:val="008044CB"/>
    <w:pPr>
      <w:ind w:left="720"/>
    </w:pPr>
    <w:rPr>
      <w:rFonts w:ascii="Times New Roman" w:hAnsi="Times New Roman"/>
      <w:lang w:val="en-ZA"/>
    </w:rPr>
  </w:style>
  <w:style w:type="character" w:customStyle="1" w:styleId="BodyTextIndentChar">
    <w:name w:val="Body Text Indent Char"/>
    <w:basedOn w:val="DefaultParagraphFont"/>
    <w:link w:val="BodyTextIndent"/>
    <w:rsid w:val="008044CB"/>
    <w:rPr>
      <w:sz w:val="24"/>
      <w:szCs w:val="24"/>
      <w:lang w:eastAsia="en-US"/>
    </w:rPr>
  </w:style>
  <w:style w:type="paragraph" w:styleId="NormalWeb">
    <w:name w:val="Normal (Web)"/>
    <w:basedOn w:val="Normal"/>
    <w:uiPriority w:val="99"/>
    <w:rsid w:val="008044CB"/>
    <w:pPr>
      <w:spacing w:before="100" w:beforeAutospacing="1" w:after="100" w:afterAutospacing="1"/>
    </w:pPr>
    <w:rPr>
      <w:rFonts w:ascii="Helvetica" w:hAnsi="Helvetica"/>
      <w:color w:val="FFFFCC"/>
      <w:sz w:val="20"/>
      <w:szCs w:val="20"/>
      <w:lang w:val="en-ZA"/>
    </w:rPr>
  </w:style>
  <w:style w:type="paragraph" w:styleId="FootnoteText">
    <w:name w:val="footnote text"/>
    <w:basedOn w:val="Normal"/>
    <w:link w:val="FootnoteTextChar"/>
    <w:rsid w:val="008044CB"/>
    <w:rPr>
      <w:rFonts w:ascii="Times New Roman" w:hAnsi="Times New Roman"/>
      <w:sz w:val="20"/>
      <w:szCs w:val="20"/>
      <w:lang w:val="en-ZA"/>
    </w:rPr>
  </w:style>
  <w:style w:type="character" w:customStyle="1" w:styleId="FootnoteTextChar">
    <w:name w:val="Footnote Text Char"/>
    <w:basedOn w:val="DefaultParagraphFont"/>
    <w:link w:val="FootnoteText"/>
    <w:uiPriority w:val="99"/>
    <w:rsid w:val="008044CB"/>
    <w:rPr>
      <w:lang w:eastAsia="en-US"/>
    </w:rPr>
  </w:style>
  <w:style w:type="character" w:styleId="FootnoteReference">
    <w:name w:val="footnote reference"/>
    <w:basedOn w:val="DefaultParagraphFont"/>
    <w:uiPriority w:val="99"/>
    <w:rsid w:val="008044CB"/>
    <w:rPr>
      <w:vertAlign w:val="superscript"/>
    </w:rPr>
  </w:style>
  <w:style w:type="character" w:customStyle="1" w:styleId="FooterChar">
    <w:name w:val="Footer Char"/>
    <w:basedOn w:val="DefaultParagraphFont"/>
    <w:link w:val="Footer"/>
    <w:uiPriority w:val="99"/>
    <w:rsid w:val="008044CB"/>
    <w:rPr>
      <w:rFonts w:ascii="Arial" w:hAnsi="Arial"/>
      <w:sz w:val="24"/>
      <w:szCs w:val="24"/>
      <w:lang w:val="en-US" w:eastAsia="en-US"/>
    </w:rPr>
  </w:style>
  <w:style w:type="paragraph" w:styleId="BodyText">
    <w:name w:val="Body Text"/>
    <w:basedOn w:val="Normal"/>
    <w:link w:val="BodyTextChar"/>
    <w:uiPriority w:val="99"/>
    <w:unhideWhenUsed/>
    <w:rsid w:val="008044CB"/>
    <w:pPr>
      <w:spacing w:after="120" w:line="276" w:lineRule="auto"/>
    </w:pPr>
    <w:rPr>
      <w:rFonts w:ascii="Calibri" w:eastAsia="Calibri" w:hAnsi="Calibri"/>
      <w:sz w:val="22"/>
      <w:szCs w:val="22"/>
      <w:lang w:val="en-ZA"/>
    </w:rPr>
  </w:style>
  <w:style w:type="character" w:customStyle="1" w:styleId="BodyTextChar">
    <w:name w:val="Body Text Char"/>
    <w:basedOn w:val="DefaultParagraphFont"/>
    <w:link w:val="BodyText"/>
    <w:uiPriority w:val="99"/>
    <w:rsid w:val="008044CB"/>
    <w:rPr>
      <w:rFonts w:ascii="Calibri" w:eastAsia="Calibri" w:hAnsi="Calibri" w:cs="Times New Roman"/>
      <w:sz w:val="22"/>
      <w:szCs w:val="22"/>
      <w:lang w:eastAsia="en-US"/>
    </w:rPr>
  </w:style>
  <w:style w:type="paragraph" w:styleId="Subtitle">
    <w:name w:val="Subtitle"/>
    <w:basedOn w:val="Title"/>
    <w:next w:val="BodyText"/>
    <w:link w:val="SubtitleChar"/>
    <w:qFormat/>
    <w:rsid w:val="008044CB"/>
    <w:pPr>
      <w:keepNext/>
      <w:keepLines/>
      <w:pBdr>
        <w:bottom w:val="none" w:sz="0" w:space="0" w:color="auto"/>
      </w:pBdr>
      <w:suppressAutoHyphens/>
      <w:spacing w:before="60" w:after="120" w:line="340" w:lineRule="atLeast"/>
      <w:contextualSpacing w:val="0"/>
      <w:jc w:val="both"/>
    </w:pPr>
    <w:rPr>
      <w:rFonts w:ascii="Arial" w:hAnsi="Arial" w:cs="Arial"/>
      <w:color w:val="auto"/>
      <w:spacing w:val="-16"/>
      <w:kern w:val="1"/>
      <w:sz w:val="32"/>
      <w:szCs w:val="32"/>
      <w:lang w:val="en-GB" w:eastAsia="ar-SA"/>
    </w:rPr>
  </w:style>
  <w:style w:type="character" w:customStyle="1" w:styleId="SubtitleChar">
    <w:name w:val="Subtitle Char"/>
    <w:basedOn w:val="DefaultParagraphFont"/>
    <w:link w:val="Subtitle"/>
    <w:rsid w:val="008044CB"/>
    <w:rPr>
      <w:rFonts w:ascii="Arial" w:hAnsi="Arial" w:cs="Arial"/>
      <w:spacing w:val="-16"/>
      <w:kern w:val="1"/>
      <w:sz w:val="32"/>
      <w:szCs w:val="32"/>
      <w:lang w:val="en-GB" w:eastAsia="ar-SA"/>
    </w:rPr>
  </w:style>
  <w:style w:type="paragraph" w:customStyle="1" w:styleId="TitleCover">
    <w:name w:val="Title Cover"/>
    <w:basedOn w:val="Normal"/>
    <w:next w:val="Normal"/>
    <w:rsid w:val="008044CB"/>
    <w:pPr>
      <w:keepNext/>
      <w:keepLines/>
      <w:pBdr>
        <w:top w:val="single" w:sz="40" w:space="31" w:color="000000"/>
      </w:pBdr>
      <w:tabs>
        <w:tab w:val="left" w:pos="-1680"/>
      </w:tabs>
      <w:suppressAutoHyphens/>
      <w:spacing w:before="240" w:after="500" w:line="640" w:lineRule="exact"/>
      <w:ind w:left="-840" w:right="-840"/>
      <w:jc w:val="both"/>
    </w:pPr>
    <w:rPr>
      <w:rFonts w:ascii="Arial Black" w:hAnsi="Arial Black" w:cs="Arial Black"/>
      <w:b/>
      <w:bCs/>
      <w:spacing w:val="-48"/>
      <w:kern w:val="1"/>
      <w:sz w:val="64"/>
      <w:szCs w:val="64"/>
      <w:lang w:val="en-GB" w:eastAsia="ar-SA"/>
    </w:rPr>
  </w:style>
  <w:style w:type="paragraph" w:customStyle="1" w:styleId="SubtitleCover">
    <w:name w:val="Subtitle Cover"/>
    <w:basedOn w:val="TitleCover"/>
    <w:next w:val="BodyText"/>
    <w:rsid w:val="008044CB"/>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uiPriority w:val="10"/>
    <w:qFormat/>
    <w:rsid w:val="008044CB"/>
    <w:pPr>
      <w:pBdr>
        <w:bottom w:val="single" w:sz="8" w:space="4" w:color="4F81BD"/>
      </w:pBdr>
      <w:spacing w:after="300"/>
      <w:contextualSpacing/>
    </w:pPr>
    <w:rPr>
      <w:rFonts w:ascii="Cambria" w:hAnsi="Cambria"/>
      <w:color w:val="17365D"/>
      <w:spacing w:val="5"/>
      <w:kern w:val="28"/>
      <w:sz w:val="52"/>
      <w:szCs w:val="52"/>
      <w:lang w:val="en-ZA"/>
    </w:rPr>
  </w:style>
  <w:style w:type="character" w:customStyle="1" w:styleId="TitleChar">
    <w:name w:val="Title Char"/>
    <w:basedOn w:val="DefaultParagraphFont"/>
    <w:link w:val="Title"/>
    <w:uiPriority w:val="10"/>
    <w:rsid w:val="008044CB"/>
    <w:rPr>
      <w:rFonts w:ascii="Cambria" w:eastAsia="Times New Roman" w:hAnsi="Cambria" w:cs="Times New Roman"/>
      <w:color w:val="17365D"/>
      <w:spacing w:val="5"/>
      <w:kern w:val="28"/>
      <w:sz w:val="52"/>
      <w:szCs w:val="52"/>
      <w:lang w:eastAsia="en-US"/>
    </w:rPr>
  </w:style>
  <w:style w:type="character" w:customStyle="1" w:styleId="FootnoteCharacters">
    <w:name w:val="Footnote Characters"/>
    <w:rsid w:val="008044CB"/>
    <w:rPr>
      <w:rFonts w:cs="Times New Roman"/>
      <w:vertAlign w:val="superscript"/>
    </w:rPr>
  </w:style>
  <w:style w:type="paragraph" w:customStyle="1" w:styleId="1AutoList1">
    <w:name w:val="1AutoList1"/>
    <w:rsid w:val="008044CB"/>
    <w:pPr>
      <w:tabs>
        <w:tab w:val="left" w:pos="720"/>
      </w:tabs>
      <w:autoSpaceDE w:val="0"/>
      <w:autoSpaceDN w:val="0"/>
      <w:adjustRightInd w:val="0"/>
      <w:ind w:left="720" w:hanging="720"/>
    </w:pPr>
    <w:rPr>
      <w:szCs w:val="24"/>
      <w:lang w:eastAsia="en-US"/>
    </w:rPr>
  </w:style>
  <w:style w:type="paragraph" w:styleId="TOC3">
    <w:name w:val="toc 3"/>
    <w:basedOn w:val="Normal"/>
    <w:next w:val="Normal"/>
    <w:autoRedefine/>
    <w:uiPriority w:val="39"/>
    <w:unhideWhenUsed/>
    <w:qFormat/>
    <w:rsid w:val="008044CB"/>
    <w:pPr>
      <w:spacing w:line="276" w:lineRule="auto"/>
      <w:ind w:left="440"/>
    </w:pPr>
    <w:rPr>
      <w:rFonts w:ascii="Calibri" w:eastAsia="Calibri" w:hAnsi="Calibri"/>
      <w:i/>
      <w:iCs/>
      <w:sz w:val="20"/>
      <w:szCs w:val="20"/>
      <w:lang w:val="en-ZA"/>
    </w:rPr>
  </w:style>
  <w:style w:type="paragraph" w:styleId="TOC4">
    <w:name w:val="toc 4"/>
    <w:basedOn w:val="Normal"/>
    <w:next w:val="Normal"/>
    <w:autoRedefine/>
    <w:uiPriority w:val="39"/>
    <w:unhideWhenUsed/>
    <w:rsid w:val="008044CB"/>
    <w:pPr>
      <w:spacing w:line="276" w:lineRule="auto"/>
      <w:ind w:left="660"/>
    </w:pPr>
    <w:rPr>
      <w:rFonts w:ascii="Calibri" w:eastAsia="Calibri" w:hAnsi="Calibri"/>
      <w:sz w:val="18"/>
      <w:szCs w:val="18"/>
      <w:lang w:val="en-ZA"/>
    </w:rPr>
  </w:style>
  <w:style w:type="paragraph" w:styleId="TOC5">
    <w:name w:val="toc 5"/>
    <w:basedOn w:val="Normal"/>
    <w:next w:val="Normal"/>
    <w:autoRedefine/>
    <w:uiPriority w:val="39"/>
    <w:unhideWhenUsed/>
    <w:rsid w:val="008044CB"/>
    <w:pPr>
      <w:spacing w:line="276" w:lineRule="auto"/>
      <w:ind w:left="880"/>
    </w:pPr>
    <w:rPr>
      <w:rFonts w:ascii="Calibri" w:eastAsia="Calibri" w:hAnsi="Calibri"/>
      <w:sz w:val="18"/>
      <w:szCs w:val="18"/>
      <w:lang w:val="en-ZA"/>
    </w:rPr>
  </w:style>
  <w:style w:type="paragraph" w:styleId="TOC6">
    <w:name w:val="toc 6"/>
    <w:basedOn w:val="Normal"/>
    <w:next w:val="Normal"/>
    <w:autoRedefine/>
    <w:uiPriority w:val="39"/>
    <w:unhideWhenUsed/>
    <w:rsid w:val="008044CB"/>
    <w:pPr>
      <w:spacing w:line="276" w:lineRule="auto"/>
      <w:ind w:left="1100"/>
    </w:pPr>
    <w:rPr>
      <w:rFonts w:ascii="Calibri" w:eastAsia="Calibri" w:hAnsi="Calibri"/>
      <w:sz w:val="18"/>
      <w:szCs w:val="18"/>
      <w:lang w:val="en-ZA"/>
    </w:rPr>
  </w:style>
  <w:style w:type="paragraph" w:styleId="TOC7">
    <w:name w:val="toc 7"/>
    <w:basedOn w:val="Normal"/>
    <w:next w:val="Normal"/>
    <w:autoRedefine/>
    <w:uiPriority w:val="39"/>
    <w:unhideWhenUsed/>
    <w:rsid w:val="008044CB"/>
    <w:pPr>
      <w:spacing w:line="276" w:lineRule="auto"/>
      <w:ind w:left="1320"/>
    </w:pPr>
    <w:rPr>
      <w:rFonts w:ascii="Calibri" w:eastAsia="Calibri" w:hAnsi="Calibri"/>
      <w:sz w:val="18"/>
      <w:szCs w:val="18"/>
      <w:lang w:val="en-ZA"/>
    </w:rPr>
  </w:style>
  <w:style w:type="paragraph" w:styleId="TOC8">
    <w:name w:val="toc 8"/>
    <w:basedOn w:val="Normal"/>
    <w:next w:val="Normal"/>
    <w:autoRedefine/>
    <w:uiPriority w:val="39"/>
    <w:unhideWhenUsed/>
    <w:rsid w:val="008044CB"/>
    <w:pPr>
      <w:spacing w:line="276" w:lineRule="auto"/>
      <w:ind w:left="1540"/>
    </w:pPr>
    <w:rPr>
      <w:rFonts w:ascii="Calibri" w:eastAsia="Calibri" w:hAnsi="Calibri"/>
      <w:sz w:val="18"/>
      <w:szCs w:val="18"/>
      <w:lang w:val="en-ZA"/>
    </w:rPr>
  </w:style>
  <w:style w:type="paragraph" w:styleId="TOC9">
    <w:name w:val="toc 9"/>
    <w:basedOn w:val="Normal"/>
    <w:next w:val="Normal"/>
    <w:autoRedefine/>
    <w:uiPriority w:val="39"/>
    <w:unhideWhenUsed/>
    <w:rsid w:val="008044CB"/>
    <w:pPr>
      <w:spacing w:line="276" w:lineRule="auto"/>
      <w:ind w:left="1760"/>
    </w:pPr>
    <w:rPr>
      <w:rFonts w:ascii="Calibri" w:eastAsia="Calibri" w:hAnsi="Calibri"/>
      <w:sz w:val="18"/>
      <w:szCs w:val="18"/>
      <w:lang w:val="en-ZA"/>
    </w:rPr>
  </w:style>
  <w:style w:type="paragraph" w:styleId="Caption">
    <w:name w:val="caption"/>
    <w:basedOn w:val="Normal"/>
    <w:next w:val="Normal"/>
    <w:uiPriority w:val="35"/>
    <w:unhideWhenUsed/>
    <w:qFormat/>
    <w:rsid w:val="008044CB"/>
    <w:pPr>
      <w:spacing w:after="200"/>
    </w:pPr>
    <w:rPr>
      <w:rFonts w:eastAsia="Calibri"/>
      <w:b/>
      <w:bCs/>
      <w:sz w:val="22"/>
      <w:szCs w:val="18"/>
      <w:lang w:val="en-ZA"/>
    </w:rPr>
  </w:style>
  <w:style w:type="paragraph" w:styleId="TableofFigures">
    <w:name w:val="table of figures"/>
    <w:basedOn w:val="Normal"/>
    <w:next w:val="Normal"/>
    <w:uiPriority w:val="99"/>
    <w:unhideWhenUsed/>
    <w:rsid w:val="00CC2645"/>
    <w:pPr>
      <w:spacing w:line="276" w:lineRule="auto"/>
    </w:pPr>
    <w:rPr>
      <w:rFonts w:eastAsia="Calibri"/>
      <w:sz w:val="22"/>
      <w:szCs w:val="22"/>
      <w:lang w:val="en-ZA"/>
    </w:rPr>
  </w:style>
  <w:style w:type="paragraph" w:customStyle="1" w:styleId="Default">
    <w:name w:val="Default"/>
    <w:rsid w:val="008044CB"/>
    <w:pPr>
      <w:autoSpaceDE w:val="0"/>
      <w:autoSpaceDN w:val="0"/>
      <w:adjustRightInd w:val="0"/>
    </w:pPr>
    <w:rPr>
      <w:rFonts w:ascii="Arial" w:eastAsia="Calibri" w:hAnsi="Arial" w:cs="Arial"/>
      <w:color w:val="000000"/>
      <w:sz w:val="24"/>
      <w:szCs w:val="24"/>
      <w:lang w:val="en-US" w:eastAsia="en-US"/>
    </w:rPr>
  </w:style>
  <w:style w:type="character" w:customStyle="1" w:styleId="TOC1Char">
    <w:name w:val="TOC 1 Char"/>
    <w:basedOn w:val="DefaultParagraphFont"/>
    <w:link w:val="TOC1"/>
    <w:uiPriority w:val="39"/>
    <w:rsid w:val="000D78C4"/>
    <w:rPr>
      <w:rFonts w:ascii="Arial" w:hAnsi="Arial"/>
      <w:color w:val="000000"/>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90"/>
    <w:rPr>
      <w:rFonts w:ascii="Arial" w:hAnsi="Arial"/>
      <w:sz w:val="24"/>
      <w:szCs w:val="24"/>
      <w:lang w:val="en-US" w:eastAsia="en-US"/>
    </w:rPr>
  </w:style>
  <w:style w:type="paragraph" w:styleId="Heading1">
    <w:name w:val="heading 1"/>
    <w:basedOn w:val="Normal"/>
    <w:next w:val="Normal"/>
    <w:link w:val="Heading1Char"/>
    <w:uiPriority w:val="9"/>
    <w:qFormat/>
    <w:rsid w:val="00282C04"/>
    <w:pPr>
      <w:keepNext/>
      <w:numPr>
        <w:numId w:val="11"/>
      </w:numPr>
      <w:spacing w:before="240" w:after="60"/>
      <w:jc w:val="center"/>
      <w:outlineLvl w:val="0"/>
    </w:pPr>
    <w:rPr>
      <w:b/>
      <w:bCs/>
      <w:kern w:val="32"/>
      <w:sz w:val="32"/>
      <w:szCs w:val="32"/>
    </w:rPr>
  </w:style>
  <w:style w:type="paragraph" w:styleId="Heading2">
    <w:name w:val="heading 2"/>
    <w:aliases w:val="Opodo H2"/>
    <w:basedOn w:val="Normal"/>
    <w:next w:val="Normal"/>
    <w:link w:val="Heading2Char"/>
    <w:uiPriority w:val="9"/>
    <w:qFormat/>
    <w:rsid w:val="000D78C4"/>
    <w:pPr>
      <w:keepNext/>
      <w:numPr>
        <w:ilvl w:val="1"/>
        <w:numId w:val="11"/>
      </w:numPr>
      <w:jc w:val="both"/>
      <w:outlineLvl w:val="1"/>
    </w:pPr>
    <w:rPr>
      <w:b/>
      <w:noProof/>
      <w:color w:val="0000CC"/>
      <w:szCs w:val="20"/>
      <w:lang w:val="en-ZW"/>
    </w:rPr>
  </w:style>
  <w:style w:type="paragraph" w:styleId="Heading3">
    <w:name w:val="heading 3"/>
    <w:basedOn w:val="Normal"/>
    <w:next w:val="Normal"/>
    <w:link w:val="Heading3Char"/>
    <w:uiPriority w:val="9"/>
    <w:unhideWhenUsed/>
    <w:qFormat/>
    <w:rsid w:val="008044CB"/>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044CB"/>
    <w:pPr>
      <w:keepNext/>
      <w:keepLines/>
      <w:numPr>
        <w:ilvl w:val="3"/>
        <w:numId w:val="11"/>
      </w:numPr>
      <w:spacing w:before="200" w:line="276" w:lineRule="auto"/>
      <w:outlineLvl w:val="3"/>
    </w:pPr>
    <w:rPr>
      <w:rFonts w:ascii="Cambria" w:hAnsi="Cambria"/>
      <w:b/>
      <w:bCs/>
      <w:i/>
      <w:iCs/>
      <w:color w:val="4F81BD"/>
      <w:sz w:val="22"/>
      <w:szCs w:val="22"/>
      <w:lang w:val="en-ZA"/>
    </w:rPr>
  </w:style>
  <w:style w:type="paragraph" w:styleId="Heading5">
    <w:name w:val="heading 5"/>
    <w:basedOn w:val="Normal"/>
    <w:next w:val="Normal"/>
    <w:link w:val="Heading5Char"/>
    <w:uiPriority w:val="9"/>
    <w:unhideWhenUsed/>
    <w:qFormat/>
    <w:rsid w:val="008044CB"/>
    <w:pPr>
      <w:keepNext/>
      <w:keepLines/>
      <w:numPr>
        <w:ilvl w:val="4"/>
        <w:numId w:val="11"/>
      </w:numPr>
      <w:spacing w:before="200" w:line="276" w:lineRule="auto"/>
      <w:outlineLvl w:val="4"/>
    </w:pPr>
    <w:rPr>
      <w:rFonts w:ascii="Cambria" w:hAnsi="Cambria"/>
      <w:color w:val="243F60"/>
      <w:sz w:val="22"/>
      <w:szCs w:val="22"/>
      <w:lang w:val="en-ZA"/>
    </w:rPr>
  </w:style>
  <w:style w:type="paragraph" w:styleId="Heading6">
    <w:name w:val="heading 6"/>
    <w:basedOn w:val="Normal"/>
    <w:next w:val="Normal"/>
    <w:link w:val="Heading6Char"/>
    <w:uiPriority w:val="9"/>
    <w:semiHidden/>
    <w:unhideWhenUsed/>
    <w:qFormat/>
    <w:rsid w:val="008044CB"/>
    <w:pPr>
      <w:keepNext/>
      <w:keepLines/>
      <w:numPr>
        <w:ilvl w:val="5"/>
        <w:numId w:val="11"/>
      </w:numPr>
      <w:spacing w:before="200" w:line="276" w:lineRule="auto"/>
      <w:outlineLvl w:val="5"/>
    </w:pPr>
    <w:rPr>
      <w:rFonts w:ascii="Cambria" w:hAnsi="Cambria"/>
      <w:i/>
      <w:iCs/>
      <w:color w:val="243F60"/>
      <w:sz w:val="22"/>
      <w:szCs w:val="22"/>
      <w:lang w:val="en-ZA"/>
    </w:rPr>
  </w:style>
  <w:style w:type="paragraph" w:styleId="Heading7">
    <w:name w:val="heading 7"/>
    <w:basedOn w:val="Normal"/>
    <w:next w:val="Normal"/>
    <w:link w:val="Heading7Char"/>
    <w:uiPriority w:val="9"/>
    <w:semiHidden/>
    <w:unhideWhenUsed/>
    <w:qFormat/>
    <w:rsid w:val="008044CB"/>
    <w:pPr>
      <w:keepNext/>
      <w:keepLines/>
      <w:numPr>
        <w:ilvl w:val="6"/>
        <w:numId w:val="11"/>
      </w:numPr>
      <w:spacing w:before="200" w:line="276" w:lineRule="auto"/>
      <w:outlineLvl w:val="6"/>
    </w:pPr>
    <w:rPr>
      <w:rFonts w:ascii="Cambria" w:hAnsi="Cambria"/>
      <w:i/>
      <w:iCs/>
      <w:color w:val="404040"/>
      <w:sz w:val="22"/>
      <w:szCs w:val="22"/>
      <w:lang w:val="en-ZA"/>
    </w:rPr>
  </w:style>
  <w:style w:type="paragraph" w:styleId="Heading8">
    <w:name w:val="heading 8"/>
    <w:basedOn w:val="Normal"/>
    <w:next w:val="Normal"/>
    <w:link w:val="Heading8Char"/>
    <w:uiPriority w:val="9"/>
    <w:semiHidden/>
    <w:unhideWhenUsed/>
    <w:qFormat/>
    <w:rsid w:val="008044CB"/>
    <w:pPr>
      <w:keepNext/>
      <w:keepLines/>
      <w:numPr>
        <w:ilvl w:val="7"/>
        <w:numId w:val="11"/>
      </w:numPr>
      <w:spacing w:before="200" w:line="276" w:lineRule="auto"/>
      <w:outlineLvl w:val="7"/>
    </w:pPr>
    <w:rPr>
      <w:rFonts w:ascii="Cambria" w:hAnsi="Cambria"/>
      <w:color w:val="404040"/>
      <w:sz w:val="20"/>
      <w:szCs w:val="20"/>
      <w:lang w:val="en-ZA"/>
    </w:rPr>
  </w:style>
  <w:style w:type="paragraph" w:styleId="Heading9">
    <w:name w:val="heading 9"/>
    <w:basedOn w:val="Normal"/>
    <w:next w:val="Normal"/>
    <w:link w:val="Heading9Char"/>
    <w:uiPriority w:val="9"/>
    <w:semiHidden/>
    <w:unhideWhenUsed/>
    <w:qFormat/>
    <w:rsid w:val="008044CB"/>
    <w:pPr>
      <w:keepNext/>
      <w:keepLines/>
      <w:numPr>
        <w:ilvl w:val="8"/>
        <w:numId w:val="11"/>
      </w:numPr>
      <w:spacing w:before="200" w:line="276" w:lineRule="auto"/>
      <w:outlineLvl w:val="8"/>
    </w:pPr>
    <w:rPr>
      <w:rFonts w:ascii="Cambria" w:hAnsi="Cambria"/>
      <w:i/>
      <w:iCs/>
      <w:color w:val="404040"/>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F3A59"/>
    <w:pPr>
      <w:shd w:val="clear" w:color="auto" w:fill="000080"/>
    </w:pPr>
    <w:rPr>
      <w:rFonts w:ascii="Tahoma" w:hAnsi="Tahoma" w:cs="Tahoma"/>
      <w:sz w:val="20"/>
      <w:szCs w:val="20"/>
    </w:rPr>
  </w:style>
  <w:style w:type="paragraph" w:customStyle="1" w:styleId="CharCharCharCharCharCharCharCharCharChar">
    <w:name w:val="Char Char Char Char Char Char Char Char Char Char"/>
    <w:basedOn w:val="Normal"/>
    <w:rsid w:val="00ED4F8F"/>
    <w:pPr>
      <w:spacing w:after="160" w:line="240" w:lineRule="exact"/>
    </w:pPr>
    <w:rPr>
      <w:bCs/>
      <w:sz w:val="22"/>
    </w:rPr>
  </w:style>
  <w:style w:type="paragraph" w:styleId="BodyTextIndent3">
    <w:name w:val="Body Text Indent 3"/>
    <w:basedOn w:val="Normal"/>
    <w:link w:val="BodyTextIndent3Char"/>
    <w:semiHidden/>
    <w:rsid w:val="00CA081C"/>
    <w:pPr>
      <w:ind w:left="142"/>
    </w:pPr>
    <w:rPr>
      <w:rFonts w:ascii="Times New Roman" w:hAnsi="Times New Roman"/>
      <w:sz w:val="20"/>
      <w:szCs w:val="20"/>
      <w:lang w:val="en-GB"/>
    </w:rPr>
  </w:style>
  <w:style w:type="character" w:customStyle="1" w:styleId="BodyTextIndent3Char">
    <w:name w:val="Body Text Indent 3 Char"/>
    <w:basedOn w:val="DefaultParagraphFont"/>
    <w:link w:val="BodyTextIndent3"/>
    <w:semiHidden/>
    <w:rsid w:val="00CA081C"/>
    <w:rPr>
      <w:lang w:val="en-GB" w:eastAsia="en-US" w:bidi="ar-SA"/>
    </w:rPr>
  </w:style>
  <w:style w:type="paragraph" w:styleId="ListParagraph">
    <w:name w:val="List Paragraph"/>
    <w:basedOn w:val="Normal"/>
    <w:uiPriority w:val="34"/>
    <w:qFormat/>
    <w:rsid w:val="00CA081C"/>
    <w:pPr>
      <w:spacing w:after="200" w:line="276" w:lineRule="auto"/>
      <w:ind w:left="720"/>
    </w:pPr>
    <w:rPr>
      <w:rFonts w:ascii="Calibri" w:eastAsia="Calibri" w:hAnsi="Calibri"/>
      <w:sz w:val="22"/>
      <w:szCs w:val="22"/>
    </w:rPr>
  </w:style>
  <w:style w:type="paragraph" w:styleId="Footer">
    <w:name w:val="footer"/>
    <w:basedOn w:val="Normal"/>
    <w:link w:val="FooterChar"/>
    <w:uiPriority w:val="99"/>
    <w:rsid w:val="00FE7B1F"/>
    <w:pPr>
      <w:tabs>
        <w:tab w:val="center" w:pos="4153"/>
        <w:tab w:val="right" w:pos="8306"/>
      </w:tabs>
    </w:pPr>
  </w:style>
  <w:style w:type="character" w:styleId="PageNumber">
    <w:name w:val="page number"/>
    <w:basedOn w:val="DefaultParagraphFont"/>
    <w:uiPriority w:val="99"/>
    <w:rsid w:val="00FE7B1F"/>
  </w:style>
  <w:style w:type="paragraph" w:styleId="BalloonText">
    <w:name w:val="Balloon Text"/>
    <w:basedOn w:val="Normal"/>
    <w:link w:val="BalloonTextChar"/>
    <w:uiPriority w:val="99"/>
    <w:semiHidden/>
    <w:rsid w:val="00FE7B1F"/>
    <w:rPr>
      <w:rFonts w:ascii="Tahoma" w:hAnsi="Tahoma" w:cs="Tahoma"/>
      <w:sz w:val="16"/>
      <w:szCs w:val="16"/>
    </w:rPr>
  </w:style>
  <w:style w:type="paragraph" w:styleId="Header">
    <w:name w:val="header"/>
    <w:basedOn w:val="Normal"/>
    <w:link w:val="HeaderChar"/>
    <w:uiPriority w:val="99"/>
    <w:rsid w:val="00787FA5"/>
    <w:pPr>
      <w:tabs>
        <w:tab w:val="center" w:pos="4153"/>
        <w:tab w:val="right" w:pos="8306"/>
      </w:tabs>
    </w:pPr>
  </w:style>
  <w:style w:type="paragraph" w:customStyle="1" w:styleId="ColorfulList-Accent11">
    <w:name w:val="Colorful List - Accent 11"/>
    <w:basedOn w:val="Normal"/>
    <w:qFormat/>
    <w:rsid w:val="006B3881"/>
    <w:pPr>
      <w:spacing w:after="200" w:line="276" w:lineRule="auto"/>
      <w:ind w:left="720"/>
      <w:contextualSpacing/>
    </w:pPr>
    <w:rPr>
      <w:rFonts w:eastAsia="Calibri"/>
      <w:szCs w:val="22"/>
      <w:lang w:val="en-ZA"/>
    </w:rPr>
  </w:style>
  <w:style w:type="paragraph" w:customStyle="1" w:styleId="ColorfulList-Accent13">
    <w:name w:val="Colorful List - Accent 13"/>
    <w:basedOn w:val="Normal"/>
    <w:qFormat/>
    <w:rsid w:val="00030A22"/>
    <w:pPr>
      <w:spacing w:line="360" w:lineRule="auto"/>
      <w:ind w:left="720"/>
      <w:jc w:val="both"/>
    </w:pPr>
    <w:rPr>
      <w:rFonts w:ascii="Tahoma" w:hAnsi="Tahoma"/>
      <w:sz w:val="20"/>
      <w:szCs w:val="22"/>
    </w:rPr>
  </w:style>
  <w:style w:type="table" w:styleId="TableGrid">
    <w:name w:val="Table Grid"/>
    <w:basedOn w:val="TableNormal"/>
    <w:rsid w:val="00507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622AF2"/>
    <w:rPr>
      <w:sz w:val="16"/>
      <w:szCs w:val="16"/>
    </w:rPr>
  </w:style>
  <w:style w:type="paragraph" w:styleId="CommentText">
    <w:name w:val="annotation text"/>
    <w:basedOn w:val="Normal"/>
    <w:link w:val="CommentTextChar"/>
    <w:uiPriority w:val="99"/>
    <w:rsid w:val="00622AF2"/>
    <w:rPr>
      <w:sz w:val="20"/>
      <w:szCs w:val="20"/>
    </w:rPr>
  </w:style>
  <w:style w:type="character" w:customStyle="1" w:styleId="CommentTextChar">
    <w:name w:val="Comment Text Char"/>
    <w:basedOn w:val="DefaultParagraphFont"/>
    <w:link w:val="CommentText"/>
    <w:uiPriority w:val="99"/>
    <w:rsid w:val="00622AF2"/>
    <w:rPr>
      <w:rFonts w:ascii="Arial" w:hAnsi="Arial"/>
    </w:rPr>
  </w:style>
  <w:style w:type="paragraph" w:styleId="CommentSubject">
    <w:name w:val="annotation subject"/>
    <w:basedOn w:val="CommentText"/>
    <w:next w:val="CommentText"/>
    <w:link w:val="CommentSubjectChar"/>
    <w:uiPriority w:val="99"/>
    <w:rsid w:val="00622AF2"/>
    <w:rPr>
      <w:b/>
      <w:bCs/>
    </w:rPr>
  </w:style>
  <w:style w:type="character" w:customStyle="1" w:styleId="CommentSubjectChar">
    <w:name w:val="Comment Subject Char"/>
    <w:basedOn w:val="CommentTextChar"/>
    <w:link w:val="CommentSubject"/>
    <w:uiPriority w:val="99"/>
    <w:rsid w:val="00622AF2"/>
    <w:rPr>
      <w:rFonts w:ascii="Arial" w:hAnsi="Arial"/>
      <w:b/>
      <w:bCs/>
    </w:rPr>
  </w:style>
  <w:style w:type="paragraph" w:styleId="Revision">
    <w:name w:val="Revision"/>
    <w:hidden/>
    <w:uiPriority w:val="99"/>
    <w:semiHidden/>
    <w:rsid w:val="00622AF2"/>
    <w:rPr>
      <w:rFonts w:ascii="Arial" w:hAnsi="Arial"/>
      <w:sz w:val="24"/>
      <w:szCs w:val="24"/>
      <w:lang w:val="en-US" w:eastAsia="en-US"/>
    </w:rPr>
  </w:style>
  <w:style w:type="paragraph" w:styleId="TOC1">
    <w:name w:val="toc 1"/>
    <w:basedOn w:val="Normal"/>
    <w:next w:val="Normal"/>
    <w:link w:val="TOC1Char"/>
    <w:autoRedefine/>
    <w:uiPriority w:val="39"/>
    <w:qFormat/>
    <w:rsid w:val="000D78C4"/>
    <w:rPr>
      <w:color w:val="000000"/>
      <w:sz w:val="22"/>
    </w:rPr>
  </w:style>
  <w:style w:type="character" w:styleId="Hyperlink">
    <w:name w:val="Hyperlink"/>
    <w:basedOn w:val="DefaultParagraphFont"/>
    <w:uiPriority w:val="99"/>
    <w:unhideWhenUsed/>
    <w:rsid w:val="006C2CE5"/>
    <w:rPr>
      <w:color w:val="0000FF"/>
      <w:u w:val="single"/>
    </w:rPr>
  </w:style>
  <w:style w:type="character" w:customStyle="1" w:styleId="Heading1Char">
    <w:name w:val="Heading 1 Char"/>
    <w:basedOn w:val="DefaultParagraphFont"/>
    <w:link w:val="Heading1"/>
    <w:uiPriority w:val="9"/>
    <w:rsid w:val="00282C04"/>
    <w:rPr>
      <w:rFonts w:ascii="Arial" w:hAnsi="Arial"/>
      <w:b/>
      <w:bCs/>
      <w:kern w:val="32"/>
      <w:sz w:val="32"/>
      <w:szCs w:val="32"/>
      <w:lang w:val="en-US" w:eastAsia="en-US"/>
    </w:rPr>
  </w:style>
  <w:style w:type="paragraph" w:styleId="TOCHeading">
    <w:name w:val="TOC Heading"/>
    <w:basedOn w:val="Heading1"/>
    <w:next w:val="Normal"/>
    <w:uiPriority w:val="39"/>
    <w:unhideWhenUsed/>
    <w:qFormat/>
    <w:rsid w:val="006C2CE5"/>
    <w:pPr>
      <w:keepLines/>
      <w:spacing w:before="480" w:after="0" w:line="276" w:lineRule="auto"/>
      <w:outlineLvl w:val="9"/>
    </w:pPr>
    <w:rPr>
      <w:color w:val="365F91"/>
      <w:kern w:val="0"/>
      <w:sz w:val="28"/>
      <w:szCs w:val="28"/>
    </w:rPr>
  </w:style>
  <w:style w:type="character" w:customStyle="1" w:styleId="HeaderChar">
    <w:name w:val="Header Char"/>
    <w:basedOn w:val="DefaultParagraphFont"/>
    <w:link w:val="Header"/>
    <w:uiPriority w:val="99"/>
    <w:rsid w:val="00CE228C"/>
    <w:rPr>
      <w:rFonts w:ascii="Arial" w:hAnsi="Arial"/>
      <w:sz w:val="24"/>
      <w:szCs w:val="24"/>
      <w:lang w:val="en-US" w:eastAsia="en-US"/>
    </w:rPr>
  </w:style>
  <w:style w:type="character" w:customStyle="1" w:styleId="Heading3Char">
    <w:name w:val="Heading 3 Char"/>
    <w:basedOn w:val="DefaultParagraphFont"/>
    <w:link w:val="Heading3"/>
    <w:uiPriority w:val="9"/>
    <w:rsid w:val="008044CB"/>
    <w:rPr>
      <w:rFonts w:ascii="Cambria" w:hAnsi="Cambria"/>
      <w:b/>
      <w:bCs/>
      <w:sz w:val="26"/>
      <w:szCs w:val="26"/>
      <w:lang w:val="en-US" w:eastAsia="en-US"/>
    </w:rPr>
  </w:style>
  <w:style w:type="character" w:customStyle="1" w:styleId="Heading4Char">
    <w:name w:val="Heading 4 Char"/>
    <w:basedOn w:val="DefaultParagraphFont"/>
    <w:link w:val="Heading4"/>
    <w:uiPriority w:val="9"/>
    <w:rsid w:val="008044CB"/>
    <w:rPr>
      <w:rFonts w:ascii="Cambria" w:hAnsi="Cambria"/>
      <w:b/>
      <w:bCs/>
      <w:i/>
      <w:iCs/>
      <w:color w:val="4F81BD"/>
      <w:sz w:val="22"/>
      <w:szCs w:val="22"/>
      <w:lang w:eastAsia="en-US"/>
    </w:rPr>
  </w:style>
  <w:style w:type="character" w:customStyle="1" w:styleId="Heading5Char">
    <w:name w:val="Heading 5 Char"/>
    <w:basedOn w:val="DefaultParagraphFont"/>
    <w:link w:val="Heading5"/>
    <w:uiPriority w:val="9"/>
    <w:rsid w:val="008044CB"/>
    <w:rPr>
      <w:rFonts w:ascii="Cambria" w:hAnsi="Cambria"/>
      <w:color w:val="243F60"/>
      <w:sz w:val="22"/>
      <w:szCs w:val="22"/>
      <w:lang w:eastAsia="en-US"/>
    </w:rPr>
  </w:style>
  <w:style w:type="character" w:customStyle="1" w:styleId="Heading6Char">
    <w:name w:val="Heading 6 Char"/>
    <w:basedOn w:val="DefaultParagraphFont"/>
    <w:link w:val="Heading6"/>
    <w:uiPriority w:val="9"/>
    <w:semiHidden/>
    <w:rsid w:val="008044CB"/>
    <w:rPr>
      <w:rFonts w:ascii="Cambria" w:hAnsi="Cambria"/>
      <w:i/>
      <w:iCs/>
      <w:color w:val="243F60"/>
      <w:sz w:val="22"/>
      <w:szCs w:val="22"/>
      <w:lang w:eastAsia="en-US"/>
    </w:rPr>
  </w:style>
  <w:style w:type="character" w:customStyle="1" w:styleId="Heading7Char">
    <w:name w:val="Heading 7 Char"/>
    <w:basedOn w:val="DefaultParagraphFont"/>
    <w:link w:val="Heading7"/>
    <w:uiPriority w:val="9"/>
    <w:semiHidden/>
    <w:rsid w:val="008044CB"/>
    <w:rPr>
      <w:rFonts w:ascii="Cambria" w:hAnsi="Cambria"/>
      <w:i/>
      <w:iCs/>
      <w:color w:val="404040"/>
      <w:sz w:val="22"/>
      <w:szCs w:val="22"/>
      <w:lang w:eastAsia="en-US"/>
    </w:rPr>
  </w:style>
  <w:style w:type="character" w:customStyle="1" w:styleId="Heading8Char">
    <w:name w:val="Heading 8 Char"/>
    <w:basedOn w:val="DefaultParagraphFont"/>
    <w:link w:val="Heading8"/>
    <w:uiPriority w:val="9"/>
    <w:semiHidden/>
    <w:rsid w:val="008044CB"/>
    <w:rPr>
      <w:rFonts w:ascii="Cambria" w:hAnsi="Cambria"/>
      <w:color w:val="404040"/>
      <w:lang w:eastAsia="en-US"/>
    </w:rPr>
  </w:style>
  <w:style w:type="character" w:customStyle="1" w:styleId="Heading9Char">
    <w:name w:val="Heading 9 Char"/>
    <w:basedOn w:val="DefaultParagraphFont"/>
    <w:link w:val="Heading9"/>
    <w:uiPriority w:val="9"/>
    <w:semiHidden/>
    <w:rsid w:val="008044CB"/>
    <w:rPr>
      <w:rFonts w:ascii="Cambria" w:hAnsi="Cambria"/>
      <w:i/>
      <w:iCs/>
      <w:color w:val="404040"/>
      <w:lang w:eastAsia="en-US"/>
    </w:rPr>
  </w:style>
  <w:style w:type="character" w:customStyle="1" w:styleId="Heading2Char">
    <w:name w:val="Heading 2 Char"/>
    <w:aliases w:val="Opodo H2 Char"/>
    <w:basedOn w:val="DefaultParagraphFont"/>
    <w:link w:val="Heading2"/>
    <w:uiPriority w:val="9"/>
    <w:rsid w:val="000D78C4"/>
    <w:rPr>
      <w:rFonts w:ascii="Arial" w:hAnsi="Arial"/>
      <w:b/>
      <w:noProof/>
      <w:color w:val="0000CC"/>
      <w:sz w:val="24"/>
      <w:lang w:val="en-ZW" w:eastAsia="en-US"/>
    </w:rPr>
  </w:style>
  <w:style w:type="paragraph" w:customStyle="1" w:styleId="Arial">
    <w:name w:val="Arial"/>
    <w:basedOn w:val="Normal"/>
    <w:uiPriority w:val="99"/>
    <w:rsid w:val="008044CB"/>
    <w:pPr>
      <w:jc w:val="both"/>
    </w:pPr>
    <w:rPr>
      <w:rFonts w:ascii="Times New Roman" w:hAnsi="Times New Roman"/>
      <w:lang w:val="en-GB"/>
    </w:rPr>
  </w:style>
  <w:style w:type="paragraph" w:styleId="TOC2">
    <w:name w:val="toc 2"/>
    <w:basedOn w:val="Normal"/>
    <w:next w:val="Normal"/>
    <w:autoRedefine/>
    <w:uiPriority w:val="39"/>
    <w:unhideWhenUsed/>
    <w:qFormat/>
    <w:rsid w:val="008044CB"/>
    <w:pPr>
      <w:spacing w:line="276" w:lineRule="auto"/>
      <w:ind w:left="220"/>
    </w:pPr>
    <w:rPr>
      <w:rFonts w:ascii="Calibri" w:eastAsia="Calibri" w:hAnsi="Calibri"/>
      <w:smallCaps/>
      <w:sz w:val="20"/>
      <w:szCs w:val="20"/>
      <w:lang w:val="en-ZA"/>
    </w:rPr>
  </w:style>
  <w:style w:type="character" w:customStyle="1" w:styleId="BalloonTextChar">
    <w:name w:val="Balloon Text Char"/>
    <w:basedOn w:val="DefaultParagraphFont"/>
    <w:link w:val="BalloonText"/>
    <w:uiPriority w:val="99"/>
    <w:semiHidden/>
    <w:rsid w:val="008044CB"/>
    <w:rPr>
      <w:rFonts w:ascii="Tahoma" w:hAnsi="Tahoma" w:cs="Tahoma"/>
      <w:sz w:val="16"/>
      <w:szCs w:val="16"/>
      <w:lang w:val="en-US" w:eastAsia="en-US"/>
    </w:rPr>
  </w:style>
  <w:style w:type="paragraph" w:customStyle="1" w:styleId="Paragraph">
    <w:name w:val="Paragraph"/>
    <w:basedOn w:val="Normal"/>
    <w:rsid w:val="008044CB"/>
    <w:pPr>
      <w:tabs>
        <w:tab w:val="left" w:pos="284"/>
        <w:tab w:val="left" w:pos="567"/>
        <w:tab w:val="left" w:pos="851"/>
      </w:tabs>
      <w:spacing w:after="160" w:line="260" w:lineRule="atLeast"/>
      <w:jc w:val="both"/>
    </w:pPr>
    <w:rPr>
      <w:rFonts w:ascii="Times New Roman" w:hAnsi="Times New Roman"/>
      <w:sz w:val="22"/>
      <w:szCs w:val="20"/>
      <w:lang w:val="en-GB"/>
    </w:rPr>
  </w:style>
  <w:style w:type="paragraph" w:customStyle="1" w:styleId="FinalBullet">
    <w:name w:val="Final Bullet"/>
    <w:basedOn w:val="ListBullet"/>
    <w:rsid w:val="008044CB"/>
    <w:pPr>
      <w:tabs>
        <w:tab w:val="left" w:pos="357"/>
      </w:tabs>
      <w:spacing w:after="160"/>
    </w:pPr>
    <w:rPr>
      <w:szCs w:val="20"/>
      <w:lang w:val="en-GB"/>
    </w:rPr>
  </w:style>
  <w:style w:type="paragraph" w:styleId="ListBullet">
    <w:name w:val="List Bullet"/>
    <w:basedOn w:val="Normal"/>
    <w:autoRedefine/>
    <w:rsid w:val="008044CB"/>
    <w:pPr>
      <w:ind w:left="720" w:hanging="720"/>
      <w:jc w:val="both"/>
    </w:pPr>
    <w:rPr>
      <w:rFonts w:ascii="Times New Roman" w:hAnsi="Times New Roman"/>
      <w:sz w:val="22"/>
      <w:lang w:val="en-ZA"/>
    </w:rPr>
  </w:style>
  <w:style w:type="paragraph" w:styleId="BodyTextIndent">
    <w:name w:val="Body Text Indent"/>
    <w:basedOn w:val="Normal"/>
    <w:link w:val="BodyTextIndentChar"/>
    <w:rsid w:val="008044CB"/>
    <w:pPr>
      <w:ind w:left="720"/>
    </w:pPr>
    <w:rPr>
      <w:rFonts w:ascii="Times New Roman" w:hAnsi="Times New Roman"/>
      <w:lang w:val="en-ZA"/>
    </w:rPr>
  </w:style>
  <w:style w:type="character" w:customStyle="1" w:styleId="BodyTextIndentChar">
    <w:name w:val="Body Text Indent Char"/>
    <w:basedOn w:val="DefaultParagraphFont"/>
    <w:link w:val="BodyTextIndent"/>
    <w:rsid w:val="008044CB"/>
    <w:rPr>
      <w:sz w:val="24"/>
      <w:szCs w:val="24"/>
      <w:lang w:eastAsia="en-US"/>
    </w:rPr>
  </w:style>
  <w:style w:type="paragraph" w:styleId="NormalWeb">
    <w:name w:val="Normal (Web)"/>
    <w:basedOn w:val="Normal"/>
    <w:uiPriority w:val="99"/>
    <w:rsid w:val="008044CB"/>
    <w:pPr>
      <w:spacing w:before="100" w:beforeAutospacing="1" w:after="100" w:afterAutospacing="1"/>
    </w:pPr>
    <w:rPr>
      <w:rFonts w:ascii="Helvetica" w:hAnsi="Helvetica"/>
      <w:color w:val="FFFFCC"/>
      <w:sz w:val="20"/>
      <w:szCs w:val="20"/>
      <w:lang w:val="en-ZA"/>
    </w:rPr>
  </w:style>
  <w:style w:type="paragraph" w:styleId="FootnoteText">
    <w:name w:val="footnote text"/>
    <w:basedOn w:val="Normal"/>
    <w:link w:val="FootnoteTextChar"/>
    <w:rsid w:val="008044CB"/>
    <w:rPr>
      <w:rFonts w:ascii="Times New Roman" w:hAnsi="Times New Roman"/>
      <w:sz w:val="20"/>
      <w:szCs w:val="20"/>
      <w:lang w:val="en-ZA"/>
    </w:rPr>
  </w:style>
  <w:style w:type="character" w:customStyle="1" w:styleId="FootnoteTextChar">
    <w:name w:val="Footnote Text Char"/>
    <w:basedOn w:val="DefaultParagraphFont"/>
    <w:link w:val="FootnoteText"/>
    <w:uiPriority w:val="99"/>
    <w:rsid w:val="008044CB"/>
    <w:rPr>
      <w:lang w:eastAsia="en-US"/>
    </w:rPr>
  </w:style>
  <w:style w:type="character" w:styleId="FootnoteReference">
    <w:name w:val="footnote reference"/>
    <w:basedOn w:val="DefaultParagraphFont"/>
    <w:uiPriority w:val="99"/>
    <w:rsid w:val="008044CB"/>
    <w:rPr>
      <w:vertAlign w:val="superscript"/>
    </w:rPr>
  </w:style>
  <w:style w:type="character" w:customStyle="1" w:styleId="FooterChar">
    <w:name w:val="Footer Char"/>
    <w:basedOn w:val="DefaultParagraphFont"/>
    <w:link w:val="Footer"/>
    <w:uiPriority w:val="99"/>
    <w:rsid w:val="008044CB"/>
    <w:rPr>
      <w:rFonts w:ascii="Arial" w:hAnsi="Arial"/>
      <w:sz w:val="24"/>
      <w:szCs w:val="24"/>
      <w:lang w:val="en-US" w:eastAsia="en-US"/>
    </w:rPr>
  </w:style>
  <w:style w:type="paragraph" w:styleId="BodyText">
    <w:name w:val="Body Text"/>
    <w:basedOn w:val="Normal"/>
    <w:link w:val="BodyTextChar"/>
    <w:uiPriority w:val="99"/>
    <w:unhideWhenUsed/>
    <w:rsid w:val="008044CB"/>
    <w:pPr>
      <w:spacing w:after="120" w:line="276" w:lineRule="auto"/>
    </w:pPr>
    <w:rPr>
      <w:rFonts w:ascii="Calibri" w:eastAsia="Calibri" w:hAnsi="Calibri"/>
      <w:sz w:val="22"/>
      <w:szCs w:val="22"/>
      <w:lang w:val="en-ZA"/>
    </w:rPr>
  </w:style>
  <w:style w:type="character" w:customStyle="1" w:styleId="BodyTextChar">
    <w:name w:val="Body Text Char"/>
    <w:basedOn w:val="DefaultParagraphFont"/>
    <w:link w:val="BodyText"/>
    <w:uiPriority w:val="99"/>
    <w:rsid w:val="008044CB"/>
    <w:rPr>
      <w:rFonts w:ascii="Calibri" w:eastAsia="Calibri" w:hAnsi="Calibri" w:cs="Times New Roman"/>
      <w:sz w:val="22"/>
      <w:szCs w:val="22"/>
      <w:lang w:eastAsia="en-US"/>
    </w:rPr>
  </w:style>
  <w:style w:type="paragraph" w:styleId="Subtitle">
    <w:name w:val="Subtitle"/>
    <w:basedOn w:val="Title"/>
    <w:next w:val="BodyText"/>
    <w:link w:val="SubtitleChar"/>
    <w:qFormat/>
    <w:rsid w:val="008044CB"/>
    <w:pPr>
      <w:keepNext/>
      <w:keepLines/>
      <w:pBdr>
        <w:bottom w:val="none" w:sz="0" w:space="0" w:color="auto"/>
      </w:pBdr>
      <w:suppressAutoHyphens/>
      <w:spacing w:before="60" w:after="120" w:line="340" w:lineRule="atLeast"/>
      <w:contextualSpacing w:val="0"/>
      <w:jc w:val="both"/>
    </w:pPr>
    <w:rPr>
      <w:rFonts w:ascii="Arial" w:hAnsi="Arial" w:cs="Arial"/>
      <w:color w:val="auto"/>
      <w:spacing w:val="-16"/>
      <w:kern w:val="1"/>
      <w:sz w:val="32"/>
      <w:szCs w:val="32"/>
      <w:lang w:val="en-GB" w:eastAsia="ar-SA"/>
    </w:rPr>
  </w:style>
  <w:style w:type="character" w:customStyle="1" w:styleId="SubtitleChar">
    <w:name w:val="Subtitle Char"/>
    <w:basedOn w:val="DefaultParagraphFont"/>
    <w:link w:val="Subtitle"/>
    <w:rsid w:val="008044CB"/>
    <w:rPr>
      <w:rFonts w:ascii="Arial" w:hAnsi="Arial" w:cs="Arial"/>
      <w:spacing w:val="-16"/>
      <w:kern w:val="1"/>
      <w:sz w:val="32"/>
      <w:szCs w:val="32"/>
      <w:lang w:val="en-GB" w:eastAsia="ar-SA"/>
    </w:rPr>
  </w:style>
  <w:style w:type="paragraph" w:customStyle="1" w:styleId="TitleCover">
    <w:name w:val="Title Cover"/>
    <w:basedOn w:val="Normal"/>
    <w:next w:val="Normal"/>
    <w:rsid w:val="008044CB"/>
    <w:pPr>
      <w:keepNext/>
      <w:keepLines/>
      <w:pBdr>
        <w:top w:val="single" w:sz="40" w:space="31" w:color="000000"/>
      </w:pBdr>
      <w:tabs>
        <w:tab w:val="left" w:pos="-1680"/>
      </w:tabs>
      <w:suppressAutoHyphens/>
      <w:spacing w:before="240" w:after="500" w:line="640" w:lineRule="exact"/>
      <w:ind w:left="-840" w:right="-840"/>
      <w:jc w:val="both"/>
    </w:pPr>
    <w:rPr>
      <w:rFonts w:ascii="Arial Black" w:hAnsi="Arial Black" w:cs="Arial Black"/>
      <w:b/>
      <w:bCs/>
      <w:spacing w:val="-48"/>
      <w:kern w:val="1"/>
      <w:sz w:val="64"/>
      <w:szCs w:val="64"/>
      <w:lang w:val="en-GB" w:eastAsia="ar-SA"/>
    </w:rPr>
  </w:style>
  <w:style w:type="paragraph" w:customStyle="1" w:styleId="SubtitleCover">
    <w:name w:val="Subtitle Cover"/>
    <w:basedOn w:val="TitleCover"/>
    <w:next w:val="BodyText"/>
    <w:rsid w:val="008044CB"/>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uiPriority w:val="10"/>
    <w:qFormat/>
    <w:rsid w:val="008044CB"/>
    <w:pPr>
      <w:pBdr>
        <w:bottom w:val="single" w:sz="8" w:space="4" w:color="4F81BD"/>
      </w:pBdr>
      <w:spacing w:after="300"/>
      <w:contextualSpacing/>
    </w:pPr>
    <w:rPr>
      <w:rFonts w:ascii="Cambria" w:hAnsi="Cambria"/>
      <w:color w:val="17365D"/>
      <w:spacing w:val="5"/>
      <w:kern w:val="28"/>
      <w:sz w:val="52"/>
      <w:szCs w:val="52"/>
      <w:lang w:val="en-ZA"/>
    </w:rPr>
  </w:style>
  <w:style w:type="character" w:customStyle="1" w:styleId="TitleChar">
    <w:name w:val="Title Char"/>
    <w:basedOn w:val="DefaultParagraphFont"/>
    <w:link w:val="Title"/>
    <w:uiPriority w:val="10"/>
    <w:rsid w:val="008044CB"/>
    <w:rPr>
      <w:rFonts w:ascii="Cambria" w:eastAsia="Times New Roman" w:hAnsi="Cambria" w:cs="Times New Roman"/>
      <w:color w:val="17365D"/>
      <w:spacing w:val="5"/>
      <w:kern w:val="28"/>
      <w:sz w:val="52"/>
      <w:szCs w:val="52"/>
      <w:lang w:eastAsia="en-US"/>
    </w:rPr>
  </w:style>
  <w:style w:type="character" w:customStyle="1" w:styleId="FootnoteCharacters">
    <w:name w:val="Footnote Characters"/>
    <w:rsid w:val="008044CB"/>
    <w:rPr>
      <w:rFonts w:cs="Times New Roman"/>
      <w:vertAlign w:val="superscript"/>
    </w:rPr>
  </w:style>
  <w:style w:type="paragraph" w:customStyle="1" w:styleId="1AutoList1">
    <w:name w:val="1AutoList1"/>
    <w:rsid w:val="008044CB"/>
    <w:pPr>
      <w:tabs>
        <w:tab w:val="left" w:pos="720"/>
      </w:tabs>
      <w:autoSpaceDE w:val="0"/>
      <w:autoSpaceDN w:val="0"/>
      <w:adjustRightInd w:val="0"/>
      <w:ind w:left="720" w:hanging="720"/>
    </w:pPr>
    <w:rPr>
      <w:szCs w:val="24"/>
      <w:lang w:eastAsia="en-US"/>
    </w:rPr>
  </w:style>
  <w:style w:type="paragraph" w:styleId="TOC3">
    <w:name w:val="toc 3"/>
    <w:basedOn w:val="Normal"/>
    <w:next w:val="Normal"/>
    <w:autoRedefine/>
    <w:uiPriority w:val="39"/>
    <w:unhideWhenUsed/>
    <w:qFormat/>
    <w:rsid w:val="008044CB"/>
    <w:pPr>
      <w:spacing w:line="276" w:lineRule="auto"/>
      <w:ind w:left="440"/>
    </w:pPr>
    <w:rPr>
      <w:rFonts w:ascii="Calibri" w:eastAsia="Calibri" w:hAnsi="Calibri"/>
      <w:i/>
      <w:iCs/>
      <w:sz w:val="20"/>
      <w:szCs w:val="20"/>
      <w:lang w:val="en-ZA"/>
    </w:rPr>
  </w:style>
  <w:style w:type="paragraph" w:styleId="TOC4">
    <w:name w:val="toc 4"/>
    <w:basedOn w:val="Normal"/>
    <w:next w:val="Normal"/>
    <w:autoRedefine/>
    <w:uiPriority w:val="39"/>
    <w:unhideWhenUsed/>
    <w:rsid w:val="008044CB"/>
    <w:pPr>
      <w:spacing w:line="276" w:lineRule="auto"/>
      <w:ind w:left="660"/>
    </w:pPr>
    <w:rPr>
      <w:rFonts w:ascii="Calibri" w:eastAsia="Calibri" w:hAnsi="Calibri"/>
      <w:sz w:val="18"/>
      <w:szCs w:val="18"/>
      <w:lang w:val="en-ZA"/>
    </w:rPr>
  </w:style>
  <w:style w:type="paragraph" w:styleId="TOC5">
    <w:name w:val="toc 5"/>
    <w:basedOn w:val="Normal"/>
    <w:next w:val="Normal"/>
    <w:autoRedefine/>
    <w:uiPriority w:val="39"/>
    <w:unhideWhenUsed/>
    <w:rsid w:val="008044CB"/>
    <w:pPr>
      <w:spacing w:line="276" w:lineRule="auto"/>
      <w:ind w:left="880"/>
    </w:pPr>
    <w:rPr>
      <w:rFonts w:ascii="Calibri" w:eastAsia="Calibri" w:hAnsi="Calibri"/>
      <w:sz w:val="18"/>
      <w:szCs w:val="18"/>
      <w:lang w:val="en-ZA"/>
    </w:rPr>
  </w:style>
  <w:style w:type="paragraph" w:styleId="TOC6">
    <w:name w:val="toc 6"/>
    <w:basedOn w:val="Normal"/>
    <w:next w:val="Normal"/>
    <w:autoRedefine/>
    <w:uiPriority w:val="39"/>
    <w:unhideWhenUsed/>
    <w:rsid w:val="008044CB"/>
    <w:pPr>
      <w:spacing w:line="276" w:lineRule="auto"/>
      <w:ind w:left="1100"/>
    </w:pPr>
    <w:rPr>
      <w:rFonts w:ascii="Calibri" w:eastAsia="Calibri" w:hAnsi="Calibri"/>
      <w:sz w:val="18"/>
      <w:szCs w:val="18"/>
      <w:lang w:val="en-ZA"/>
    </w:rPr>
  </w:style>
  <w:style w:type="paragraph" w:styleId="TOC7">
    <w:name w:val="toc 7"/>
    <w:basedOn w:val="Normal"/>
    <w:next w:val="Normal"/>
    <w:autoRedefine/>
    <w:uiPriority w:val="39"/>
    <w:unhideWhenUsed/>
    <w:rsid w:val="008044CB"/>
    <w:pPr>
      <w:spacing w:line="276" w:lineRule="auto"/>
      <w:ind w:left="1320"/>
    </w:pPr>
    <w:rPr>
      <w:rFonts w:ascii="Calibri" w:eastAsia="Calibri" w:hAnsi="Calibri"/>
      <w:sz w:val="18"/>
      <w:szCs w:val="18"/>
      <w:lang w:val="en-ZA"/>
    </w:rPr>
  </w:style>
  <w:style w:type="paragraph" w:styleId="TOC8">
    <w:name w:val="toc 8"/>
    <w:basedOn w:val="Normal"/>
    <w:next w:val="Normal"/>
    <w:autoRedefine/>
    <w:uiPriority w:val="39"/>
    <w:unhideWhenUsed/>
    <w:rsid w:val="008044CB"/>
    <w:pPr>
      <w:spacing w:line="276" w:lineRule="auto"/>
      <w:ind w:left="1540"/>
    </w:pPr>
    <w:rPr>
      <w:rFonts w:ascii="Calibri" w:eastAsia="Calibri" w:hAnsi="Calibri"/>
      <w:sz w:val="18"/>
      <w:szCs w:val="18"/>
      <w:lang w:val="en-ZA"/>
    </w:rPr>
  </w:style>
  <w:style w:type="paragraph" w:styleId="TOC9">
    <w:name w:val="toc 9"/>
    <w:basedOn w:val="Normal"/>
    <w:next w:val="Normal"/>
    <w:autoRedefine/>
    <w:uiPriority w:val="39"/>
    <w:unhideWhenUsed/>
    <w:rsid w:val="008044CB"/>
    <w:pPr>
      <w:spacing w:line="276" w:lineRule="auto"/>
      <w:ind w:left="1760"/>
    </w:pPr>
    <w:rPr>
      <w:rFonts w:ascii="Calibri" w:eastAsia="Calibri" w:hAnsi="Calibri"/>
      <w:sz w:val="18"/>
      <w:szCs w:val="18"/>
      <w:lang w:val="en-ZA"/>
    </w:rPr>
  </w:style>
  <w:style w:type="paragraph" w:styleId="Caption">
    <w:name w:val="caption"/>
    <w:basedOn w:val="Normal"/>
    <w:next w:val="Normal"/>
    <w:uiPriority w:val="35"/>
    <w:unhideWhenUsed/>
    <w:qFormat/>
    <w:rsid w:val="008044CB"/>
    <w:pPr>
      <w:spacing w:after="200"/>
    </w:pPr>
    <w:rPr>
      <w:rFonts w:eastAsia="Calibri"/>
      <w:b/>
      <w:bCs/>
      <w:sz w:val="22"/>
      <w:szCs w:val="18"/>
      <w:lang w:val="en-ZA"/>
    </w:rPr>
  </w:style>
  <w:style w:type="paragraph" w:styleId="TableofFigures">
    <w:name w:val="table of figures"/>
    <w:basedOn w:val="Normal"/>
    <w:next w:val="Normal"/>
    <w:uiPriority w:val="99"/>
    <w:unhideWhenUsed/>
    <w:rsid w:val="00CC2645"/>
    <w:pPr>
      <w:spacing w:line="276" w:lineRule="auto"/>
    </w:pPr>
    <w:rPr>
      <w:rFonts w:eastAsia="Calibri"/>
      <w:sz w:val="22"/>
      <w:szCs w:val="22"/>
      <w:lang w:val="en-ZA"/>
    </w:rPr>
  </w:style>
  <w:style w:type="paragraph" w:customStyle="1" w:styleId="Default">
    <w:name w:val="Default"/>
    <w:rsid w:val="008044CB"/>
    <w:pPr>
      <w:autoSpaceDE w:val="0"/>
      <w:autoSpaceDN w:val="0"/>
      <w:adjustRightInd w:val="0"/>
    </w:pPr>
    <w:rPr>
      <w:rFonts w:ascii="Arial" w:eastAsia="Calibri" w:hAnsi="Arial" w:cs="Arial"/>
      <w:color w:val="000000"/>
      <w:sz w:val="24"/>
      <w:szCs w:val="24"/>
      <w:lang w:val="en-US" w:eastAsia="en-US"/>
    </w:rPr>
  </w:style>
  <w:style w:type="character" w:customStyle="1" w:styleId="TOC1Char">
    <w:name w:val="TOC 1 Char"/>
    <w:basedOn w:val="DefaultParagraphFont"/>
    <w:link w:val="TOC1"/>
    <w:uiPriority w:val="39"/>
    <w:rsid w:val="000D78C4"/>
    <w:rPr>
      <w:rFonts w:ascii="Arial" w:hAnsi="Arial"/>
      <w:color w:val="000000"/>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0187632">
      <w:bodyDiv w:val="1"/>
      <w:marLeft w:val="0"/>
      <w:marRight w:val="0"/>
      <w:marTop w:val="0"/>
      <w:marBottom w:val="0"/>
      <w:divBdr>
        <w:top w:val="none" w:sz="0" w:space="0" w:color="auto"/>
        <w:left w:val="none" w:sz="0" w:space="0" w:color="auto"/>
        <w:bottom w:val="none" w:sz="0" w:space="0" w:color="auto"/>
        <w:right w:val="none" w:sz="0" w:space="0" w:color="auto"/>
      </w:divBdr>
    </w:div>
    <w:div w:id="57024034">
      <w:bodyDiv w:val="1"/>
      <w:marLeft w:val="0"/>
      <w:marRight w:val="0"/>
      <w:marTop w:val="0"/>
      <w:marBottom w:val="0"/>
      <w:divBdr>
        <w:top w:val="none" w:sz="0" w:space="0" w:color="auto"/>
        <w:left w:val="none" w:sz="0" w:space="0" w:color="auto"/>
        <w:bottom w:val="none" w:sz="0" w:space="0" w:color="auto"/>
        <w:right w:val="none" w:sz="0" w:space="0" w:color="auto"/>
      </w:divBdr>
    </w:div>
    <w:div w:id="113062271">
      <w:bodyDiv w:val="1"/>
      <w:marLeft w:val="0"/>
      <w:marRight w:val="0"/>
      <w:marTop w:val="0"/>
      <w:marBottom w:val="0"/>
      <w:divBdr>
        <w:top w:val="none" w:sz="0" w:space="0" w:color="auto"/>
        <w:left w:val="none" w:sz="0" w:space="0" w:color="auto"/>
        <w:bottom w:val="none" w:sz="0" w:space="0" w:color="auto"/>
        <w:right w:val="none" w:sz="0" w:space="0" w:color="auto"/>
      </w:divBdr>
    </w:div>
    <w:div w:id="180969682">
      <w:bodyDiv w:val="1"/>
      <w:marLeft w:val="0"/>
      <w:marRight w:val="0"/>
      <w:marTop w:val="0"/>
      <w:marBottom w:val="0"/>
      <w:divBdr>
        <w:top w:val="none" w:sz="0" w:space="0" w:color="auto"/>
        <w:left w:val="none" w:sz="0" w:space="0" w:color="auto"/>
        <w:bottom w:val="none" w:sz="0" w:space="0" w:color="auto"/>
        <w:right w:val="none" w:sz="0" w:space="0" w:color="auto"/>
      </w:divBdr>
    </w:div>
    <w:div w:id="246234860">
      <w:bodyDiv w:val="1"/>
      <w:marLeft w:val="0"/>
      <w:marRight w:val="0"/>
      <w:marTop w:val="0"/>
      <w:marBottom w:val="0"/>
      <w:divBdr>
        <w:top w:val="none" w:sz="0" w:space="0" w:color="auto"/>
        <w:left w:val="none" w:sz="0" w:space="0" w:color="auto"/>
        <w:bottom w:val="none" w:sz="0" w:space="0" w:color="auto"/>
        <w:right w:val="none" w:sz="0" w:space="0" w:color="auto"/>
      </w:divBdr>
    </w:div>
    <w:div w:id="335301682">
      <w:bodyDiv w:val="1"/>
      <w:marLeft w:val="0"/>
      <w:marRight w:val="0"/>
      <w:marTop w:val="0"/>
      <w:marBottom w:val="0"/>
      <w:divBdr>
        <w:top w:val="none" w:sz="0" w:space="0" w:color="auto"/>
        <w:left w:val="none" w:sz="0" w:space="0" w:color="auto"/>
        <w:bottom w:val="none" w:sz="0" w:space="0" w:color="auto"/>
        <w:right w:val="none" w:sz="0" w:space="0" w:color="auto"/>
      </w:divBdr>
    </w:div>
    <w:div w:id="360251592">
      <w:bodyDiv w:val="1"/>
      <w:marLeft w:val="0"/>
      <w:marRight w:val="0"/>
      <w:marTop w:val="0"/>
      <w:marBottom w:val="0"/>
      <w:divBdr>
        <w:top w:val="none" w:sz="0" w:space="0" w:color="auto"/>
        <w:left w:val="none" w:sz="0" w:space="0" w:color="auto"/>
        <w:bottom w:val="none" w:sz="0" w:space="0" w:color="auto"/>
        <w:right w:val="none" w:sz="0" w:space="0" w:color="auto"/>
      </w:divBdr>
    </w:div>
    <w:div w:id="423500809">
      <w:bodyDiv w:val="1"/>
      <w:marLeft w:val="0"/>
      <w:marRight w:val="0"/>
      <w:marTop w:val="0"/>
      <w:marBottom w:val="0"/>
      <w:divBdr>
        <w:top w:val="none" w:sz="0" w:space="0" w:color="auto"/>
        <w:left w:val="none" w:sz="0" w:space="0" w:color="auto"/>
        <w:bottom w:val="none" w:sz="0" w:space="0" w:color="auto"/>
        <w:right w:val="none" w:sz="0" w:space="0" w:color="auto"/>
      </w:divBdr>
    </w:div>
    <w:div w:id="440533258">
      <w:bodyDiv w:val="1"/>
      <w:marLeft w:val="0"/>
      <w:marRight w:val="0"/>
      <w:marTop w:val="0"/>
      <w:marBottom w:val="0"/>
      <w:divBdr>
        <w:top w:val="none" w:sz="0" w:space="0" w:color="auto"/>
        <w:left w:val="none" w:sz="0" w:space="0" w:color="auto"/>
        <w:bottom w:val="none" w:sz="0" w:space="0" w:color="auto"/>
        <w:right w:val="none" w:sz="0" w:space="0" w:color="auto"/>
      </w:divBdr>
    </w:div>
    <w:div w:id="554776928">
      <w:bodyDiv w:val="1"/>
      <w:marLeft w:val="0"/>
      <w:marRight w:val="0"/>
      <w:marTop w:val="0"/>
      <w:marBottom w:val="0"/>
      <w:divBdr>
        <w:top w:val="none" w:sz="0" w:space="0" w:color="auto"/>
        <w:left w:val="none" w:sz="0" w:space="0" w:color="auto"/>
        <w:bottom w:val="none" w:sz="0" w:space="0" w:color="auto"/>
        <w:right w:val="none" w:sz="0" w:space="0" w:color="auto"/>
      </w:divBdr>
    </w:div>
    <w:div w:id="614560772">
      <w:bodyDiv w:val="1"/>
      <w:marLeft w:val="0"/>
      <w:marRight w:val="0"/>
      <w:marTop w:val="0"/>
      <w:marBottom w:val="0"/>
      <w:divBdr>
        <w:top w:val="none" w:sz="0" w:space="0" w:color="auto"/>
        <w:left w:val="none" w:sz="0" w:space="0" w:color="auto"/>
        <w:bottom w:val="none" w:sz="0" w:space="0" w:color="auto"/>
        <w:right w:val="none" w:sz="0" w:space="0" w:color="auto"/>
      </w:divBdr>
    </w:div>
    <w:div w:id="741026146">
      <w:bodyDiv w:val="1"/>
      <w:marLeft w:val="0"/>
      <w:marRight w:val="0"/>
      <w:marTop w:val="0"/>
      <w:marBottom w:val="0"/>
      <w:divBdr>
        <w:top w:val="none" w:sz="0" w:space="0" w:color="auto"/>
        <w:left w:val="none" w:sz="0" w:space="0" w:color="auto"/>
        <w:bottom w:val="none" w:sz="0" w:space="0" w:color="auto"/>
        <w:right w:val="none" w:sz="0" w:space="0" w:color="auto"/>
      </w:divBdr>
    </w:div>
    <w:div w:id="782001291">
      <w:bodyDiv w:val="1"/>
      <w:marLeft w:val="0"/>
      <w:marRight w:val="0"/>
      <w:marTop w:val="0"/>
      <w:marBottom w:val="0"/>
      <w:divBdr>
        <w:top w:val="none" w:sz="0" w:space="0" w:color="auto"/>
        <w:left w:val="none" w:sz="0" w:space="0" w:color="auto"/>
        <w:bottom w:val="none" w:sz="0" w:space="0" w:color="auto"/>
        <w:right w:val="none" w:sz="0" w:space="0" w:color="auto"/>
      </w:divBdr>
    </w:div>
    <w:div w:id="912349360">
      <w:bodyDiv w:val="1"/>
      <w:marLeft w:val="0"/>
      <w:marRight w:val="0"/>
      <w:marTop w:val="0"/>
      <w:marBottom w:val="0"/>
      <w:divBdr>
        <w:top w:val="none" w:sz="0" w:space="0" w:color="auto"/>
        <w:left w:val="none" w:sz="0" w:space="0" w:color="auto"/>
        <w:bottom w:val="none" w:sz="0" w:space="0" w:color="auto"/>
        <w:right w:val="none" w:sz="0" w:space="0" w:color="auto"/>
      </w:divBdr>
    </w:div>
    <w:div w:id="1078601610">
      <w:bodyDiv w:val="1"/>
      <w:marLeft w:val="0"/>
      <w:marRight w:val="0"/>
      <w:marTop w:val="0"/>
      <w:marBottom w:val="0"/>
      <w:divBdr>
        <w:top w:val="none" w:sz="0" w:space="0" w:color="auto"/>
        <w:left w:val="none" w:sz="0" w:space="0" w:color="auto"/>
        <w:bottom w:val="none" w:sz="0" w:space="0" w:color="auto"/>
        <w:right w:val="none" w:sz="0" w:space="0" w:color="auto"/>
      </w:divBdr>
    </w:div>
    <w:div w:id="1126240959">
      <w:bodyDiv w:val="1"/>
      <w:marLeft w:val="0"/>
      <w:marRight w:val="0"/>
      <w:marTop w:val="0"/>
      <w:marBottom w:val="0"/>
      <w:divBdr>
        <w:top w:val="none" w:sz="0" w:space="0" w:color="auto"/>
        <w:left w:val="none" w:sz="0" w:space="0" w:color="auto"/>
        <w:bottom w:val="none" w:sz="0" w:space="0" w:color="auto"/>
        <w:right w:val="none" w:sz="0" w:space="0" w:color="auto"/>
      </w:divBdr>
    </w:div>
    <w:div w:id="1142887751">
      <w:bodyDiv w:val="1"/>
      <w:marLeft w:val="0"/>
      <w:marRight w:val="0"/>
      <w:marTop w:val="0"/>
      <w:marBottom w:val="0"/>
      <w:divBdr>
        <w:top w:val="none" w:sz="0" w:space="0" w:color="auto"/>
        <w:left w:val="none" w:sz="0" w:space="0" w:color="auto"/>
        <w:bottom w:val="none" w:sz="0" w:space="0" w:color="auto"/>
        <w:right w:val="none" w:sz="0" w:space="0" w:color="auto"/>
      </w:divBdr>
    </w:div>
    <w:div w:id="1162238869">
      <w:bodyDiv w:val="1"/>
      <w:marLeft w:val="0"/>
      <w:marRight w:val="0"/>
      <w:marTop w:val="0"/>
      <w:marBottom w:val="0"/>
      <w:divBdr>
        <w:top w:val="none" w:sz="0" w:space="0" w:color="auto"/>
        <w:left w:val="none" w:sz="0" w:space="0" w:color="auto"/>
        <w:bottom w:val="none" w:sz="0" w:space="0" w:color="auto"/>
        <w:right w:val="none" w:sz="0" w:space="0" w:color="auto"/>
      </w:divBdr>
    </w:div>
    <w:div w:id="1330597695">
      <w:bodyDiv w:val="1"/>
      <w:marLeft w:val="0"/>
      <w:marRight w:val="0"/>
      <w:marTop w:val="0"/>
      <w:marBottom w:val="0"/>
      <w:divBdr>
        <w:top w:val="none" w:sz="0" w:space="0" w:color="auto"/>
        <w:left w:val="none" w:sz="0" w:space="0" w:color="auto"/>
        <w:bottom w:val="none" w:sz="0" w:space="0" w:color="auto"/>
        <w:right w:val="none" w:sz="0" w:space="0" w:color="auto"/>
      </w:divBdr>
    </w:div>
    <w:div w:id="1454713345">
      <w:bodyDiv w:val="1"/>
      <w:marLeft w:val="0"/>
      <w:marRight w:val="0"/>
      <w:marTop w:val="0"/>
      <w:marBottom w:val="0"/>
      <w:divBdr>
        <w:top w:val="none" w:sz="0" w:space="0" w:color="auto"/>
        <w:left w:val="none" w:sz="0" w:space="0" w:color="auto"/>
        <w:bottom w:val="none" w:sz="0" w:space="0" w:color="auto"/>
        <w:right w:val="none" w:sz="0" w:space="0" w:color="auto"/>
      </w:divBdr>
    </w:div>
    <w:div w:id="1564756895">
      <w:bodyDiv w:val="1"/>
      <w:marLeft w:val="0"/>
      <w:marRight w:val="0"/>
      <w:marTop w:val="0"/>
      <w:marBottom w:val="0"/>
      <w:divBdr>
        <w:top w:val="none" w:sz="0" w:space="0" w:color="auto"/>
        <w:left w:val="none" w:sz="0" w:space="0" w:color="auto"/>
        <w:bottom w:val="none" w:sz="0" w:space="0" w:color="auto"/>
        <w:right w:val="none" w:sz="0" w:space="0" w:color="auto"/>
      </w:divBdr>
    </w:div>
    <w:div w:id="1617247084">
      <w:bodyDiv w:val="1"/>
      <w:marLeft w:val="0"/>
      <w:marRight w:val="0"/>
      <w:marTop w:val="0"/>
      <w:marBottom w:val="0"/>
      <w:divBdr>
        <w:top w:val="none" w:sz="0" w:space="0" w:color="auto"/>
        <w:left w:val="none" w:sz="0" w:space="0" w:color="auto"/>
        <w:bottom w:val="none" w:sz="0" w:space="0" w:color="auto"/>
        <w:right w:val="none" w:sz="0" w:space="0" w:color="auto"/>
      </w:divBdr>
    </w:div>
    <w:div w:id="1666587475">
      <w:bodyDiv w:val="1"/>
      <w:marLeft w:val="0"/>
      <w:marRight w:val="0"/>
      <w:marTop w:val="0"/>
      <w:marBottom w:val="0"/>
      <w:divBdr>
        <w:top w:val="none" w:sz="0" w:space="0" w:color="auto"/>
        <w:left w:val="none" w:sz="0" w:space="0" w:color="auto"/>
        <w:bottom w:val="none" w:sz="0" w:space="0" w:color="auto"/>
        <w:right w:val="none" w:sz="0" w:space="0" w:color="auto"/>
      </w:divBdr>
    </w:div>
    <w:div w:id="1716931200">
      <w:bodyDiv w:val="1"/>
      <w:marLeft w:val="0"/>
      <w:marRight w:val="0"/>
      <w:marTop w:val="0"/>
      <w:marBottom w:val="0"/>
      <w:divBdr>
        <w:top w:val="none" w:sz="0" w:space="0" w:color="auto"/>
        <w:left w:val="none" w:sz="0" w:space="0" w:color="auto"/>
        <w:bottom w:val="none" w:sz="0" w:space="0" w:color="auto"/>
        <w:right w:val="none" w:sz="0" w:space="0" w:color="auto"/>
      </w:divBdr>
    </w:div>
    <w:div w:id="1880312812">
      <w:bodyDiv w:val="1"/>
      <w:marLeft w:val="0"/>
      <w:marRight w:val="0"/>
      <w:marTop w:val="0"/>
      <w:marBottom w:val="0"/>
      <w:divBdr>
        <w:top w:val="none" w:sz="0" w:space="0" w:color="auto"/>
        <w:left w:val="none" w:sz="0" w:space="0" w:color="auto"/>
        <w:bottom w:val="none" w:sz="0" w:space="0" w:color="auto"/>
        <w:right w:val="none" w:sz="0" w:space="0" w:color="auto"/>
      </w:divBdr>
    </w:div>
    <w:div w:id="1881091057">
      <w:bodyDiv w:val="1"/>
      <w:marLeft w:val="0"/>
      <w:marRight w:val="0"/>
      <w:marTop w:val="0"/>
      <w:marBottom w:val="0"/>
      <w:divBdr>
        <w:top w:val="none" w:sz="0" w:space="0" w:color="auto"/>
        <w:left w:val="none" w:sz="0" w:space="0" w:color="auto"/>
        <w:bottom w:val="none" w:sz="0" w:space="0" w:color="auto"/>
        <w:right w:val="none" w:sz="0" w:space="0" w:color="auto"/>
      </w:divBdr>
    </w:div>
    <w:div w:id="1883009658">
      <w:bodyDiv w:val="1"/>
      <w:marLeft w:val="0"/>
      <w:marRight w:val="0"/>
      <w:marTop w:val="0"/>
      <w:marBottom w:val="0"/>
      <w:divBdr>
        <w:top w:val="none" w:sz="0" w:space="0" w:color="auto"/>
        <w:left w:val="none" w:sz="0" w:space="0" w:color="auto"/>
        <w:bottom w:val="none" w:sz="0" w:space="0" w:color="auto"/>
        <w:right w:val="none" w:sz="0" w:space="0" w:color="auto"/>
      </w:divBdr>
    </w:div>
    <w:div w:id="1915511335">
      <w:bodyDiv w:val="1"/>
      <w:marLeft w:val="0"/>
      <w:marRight w:val="0"/>
      <w:marTop w:val="0"/>
      <w:marBottom w:val="0"/>
      <w:divBdr>
        <w:top w:val="none" w:sz="0" w:space="0" w:color="auto"/>
        <w:left w:val="none" w:sz="0" w:space="0" w:color="auto"/>
        <w:bottom w:val="none" w:sz="0" w:space="0" w:color="auto"/>
        <w:right w:val="none" w:sz="0" w:space="0" w:color="auto"/>
      </w:divBdr>
    </w:div>
    <w:div w:id="1917398317">
      <w:bodyDiv w:val="1"/>
      <w:marLeft w:val="0"/>
      <w:marRight w:val="0"/>
      <w:marTop w:val="0"/>
      <w:marBottom w:val="0"/>
      <w:divBdr>
        <w:top w:val="none" w:sz="0" w:space="0" w:color="auto"/>
        <w:left w:val="none" w:sz="0" w:space="0" w:color="auto"/>
        <w:bottom w:val="none" w:sz="0" w:space="0" w:color="auto"/>
        <w:right w:val="none" w:sz="0" w:space="0" w:color="auto"/>
      </w:divBdr>
    </w:div>
    <w:div w:id="1925800167">
      <w:bodyDiv w:val="1"/>
      <w:marLeft w:val="0"/>
      <w:marRight w:val="0"/>
      <w:marTop w:val="0"/>
      <w:marBottom w:val="0"/>
      <w:divBdr>
        <w:top w:val="none" w:sz="0" w:space="0" w:color="auto"/>
        <w:left w:val="none" w:sz="0" w:space="0" w:color="auto"/>
        <w:bottom w:val="none" w:sz="0" w:space="0" w:color="auto"/>
        <w:right w:val="none" w:sz="0" w:space="0" w:color="auto"/>
      </w:divBdr>
    </w:div>
    <w:div w:id="1952785985">
      <w:bodyDiv w:val="1"/>
      <w:marLeft w:val="0"/>
      <w:marRight w:val="0"/>
      <w:marTop w:val="0"/>
      <w:marBottom w:val="0"/>
      <w:divBdr>
        <w:top w:val="none" w:sz="0" w:space="0" w:color="auto"/>
        <w:left w:val="none" w:sz="0" w:space="0" w:color="auto"/>
        <w:bottom w:val="none" w:sz="0" w:space="0" w:color="auto"/>
        <w:right w:val="none" w:sz="0" w:space="0" w:color="auto"/>
      </w:divBdr>
    </w:div>
    <w:div w:id="2062897567">
      <w:bodyDiv w:val="1"/>
      <w:marLeft w:val="0"/>
      <w:marRight w:val="0"/>
      <w:marTop w:val="0"/>
      <w:marBottom w:val="0"/>
      <w:divBdr>
        <w:top w:val="none" w:sz="0" w:space="0" w:color="auto"/>
        <w:left w:val="none" w:sz="0" w:space="0" w:color="auto"/>
        <w:bottom w:val="none" w:sz="0" w:space="0" w:color="auto"/>
        <w:right w:val="none" w:sz="0" w:space="0" w:color="auto"/>
      </w:divBdr>
    </w:div>
    <w:div w:id="2135520677">
      <w:bodyDiv w:val="1"/>
      <w:marLeft w:val="0"/>
      <w:marRight w:val="0"/>
      <w:marTop w:val="0"/>
      <w:marBottom w:val="0"/>
      <w:divBdr>
        <w:top w:val="none" w:sz="0" w:space="0" w:color="auto"/>
        <w:left w:val="none" w:sz="0" w:space="0" w:color="auto"/>
        <w:bottom w:val="none" w:sz="0" w:space="0" w:color="auto"/>
        <w:right w:val="none" w:sz="0" w:space="0" w:color="auto"/>
      </w:divBdr>
    </w:div>
    <w:div w:id="21444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jpeg"/><Relationship Id="rId34" Type="http://schemas.openxmlformats.org/officeDocument/2006/relationships/image" Target="media/image23.png"/><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theme" Target="theme/theme1.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1" Type="http://schemas.openxmlformats.org/officeDocument/2006/relationships/image" Target="media/image2.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png"/><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5F9C48-44D0-4988-BCF4-BCBD7D12E5EC}"/>
</file>

<file path=customXml/itemProps2.xml><?xml version="1.0" encoding="utf-8"?>
<ds:datastoreItem xmlns:ds="http://schemas.openxmlformats.org/officeDocument/2006/customXml" ds:itemID="{588F7B73-259A-4255-BFE1-97019B4BF08A}"/>
</file>

<file path=customXml/itemProps3.xml><?xml version="1.0" encoding="utf-8"?>
<ds:datastoreItem xmlns:ds="http://schemas.openxmlformats.org/officeDocument/2006/customXml" ds:itemID="{5880CD1E-335C-4603-994F-16DA128AEE31}"/>
</file>

<file path=customXml/itemProps4.xml><?xml version="1.0" encoding="utf-8"?>
<ds:datastoreItem xmlns:ds="http://schemas.openxmlformats.org/officeDocument/2006/customXml" ds:itemID="{4FD3972C-0CFF-4ACF-896B-574E2837638B}"/>
</file>

<file path=docProps/app.xml><?xml version="1.0" encoding="utf-8"?>
<Properties xmlns="http://schemas.openxmlformats.org/officeDocument/2006/extended-properties" xmlns:vt="http://schemas.openxmlformats.org/officeDocument/2006/docPropsVTypes">
  <Template>Normal</Template>
  <TotalTime>249</TotalTime>
  <Pages>51</Pages>
  <Words>8389</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NELSON MANDELA BAY METROPOLITAN MUNICIPALITY</vt:lpstr>
    </vt:vector>
  </TitlesOfParts>
  <Company>KSDM</Company>
  <LinksUpToDate>false</LinksUpToDate>
  <CharactersWithSpaces>56100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BAY METROPOLITAN MUNICIPALITY</dc:title>
  <dc:creator>Bulelwap</dc:creator>
  <cp:lastModifiedBy>Sophos</cp:lastModifiedBy>
  <cp:revision>12</cp:revision>
  <cp:lastPrinted>2019-03-26T11:49:00Z</cp:lastPrinted>
  <dcterms:created xsi:type="dcterms:W3CDTF">2019-03-26T10:17:00Z</dcterms:created>
  <dcterms:modified xsi:type="dcterms:W3CDTF">2020-05-20T02:07:00Z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